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880"/>
        <w:gridCol w:w="3330"/>
        <w:gridCol w:w="3150"/>
        <w:gridCol w:w="2160"/>
        <w:gridCol w:w="2520"/>
      </w:tblGrid>
      <w:tr w:rsidR="008D544A" w:rsidRPr="00414713">
        <w:trPr>
          <w:trHeight w:val="210"/>
        </w:trPr>
        <w:tc>
          <w:tcPr>
            <w:tcW w:w="1477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8D544A" w:rsidRPr="00414713" w:rsidRDefault="00FE3F3C" w:rsidP="008D544A">
            <w:pPr>
              <w:spacing w:after="0" w:line="240" w:lineRule="auto"/>
              <w:jc w:val="center"/>
              <w:rPr>
                <w:b/>
                <w:szCs w:val="18"/>
              </w:rPr>
            </w:pPr>
            <w:bookmarkStart w:id="0" w:name="_GoBack"/>
            <w:bookmarkEnd w:id="0"/>
            <w:r w:rsidRPr="00414713">
              <w:rPr>
                <w:b/>
                <w:szCs w:val="18"/>
              </w:rPr>
              <w:t xml:space="preserve">Smarter Balanced </w:t>
            </w:r>
            <w:r>
              <w:rPr>
                <w:b/>
                <w:szCs w:val="18"/>
              </w:rPr>
              <w:t>Argumentative</w:t>
            </w:r>
            <w:r w:rsidRPr="00414713">
              <w:rPr>
                <w:b/>
                <w:szCs w:val="18"/>
              </w:rPr>
              <w:t xml:space="preserve"> Writing Rubric</w:t>
            </w:r>
          </w:p>
        </w:tc>
      </w:tr>
      <w:tr w:rsidR="008D544A" w:rsidRPr="002A1939">
        <w:trPr>
          <w:trHeight w:val="192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D544A" w:rsidRPr="002A1939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Statement of Purpose/Focus and Organization</w:t>
            </w:r>
          </w:p>
        </w:tc>
        <w:tc>
          <w:tcPr>
            <w:tcW w:w="53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Development: Language and Elaboration of Evidence</w:t>
            </w:r>
          </w:p>
        </w:tc>
        <w:tc>
          <w:tcPr>
            <w:tcW w:w="2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Conventions</w:t>
            </w:r>
          </w:p>
        </w:tc>
      </w:tr>
      <w:tr w:rsidR="008D544A" w:rsidRPr="002A1939">
        <w:trPr>
          <w:trHeight w:val="242"/>
        </w:trPr>
        <w:tc>
          <w:tcPr>
            <w:tcW w:w="7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8D544A" w:rsidRPr="002A1939" w:rsidRDefault="001A09D1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3150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 xml:space="preserve">Elaboration of </w:t>
            </w:r>
            <w:r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Language and Vocabulary</w:t>
            </w:r>
          </w:p>
        </w:tc>
        <w:tc>
          <w:tcPr>
            <w:tcW w:w="2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44A" w:rsidRPr="002A1939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D544A" w:rsidRPr="002A1939">
        <w:trPr>
          <w:trHeight w:val="2150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The response is fully sustained and consistently and purposefully focused: </w:t>
            </w:r>
          </w:p>
          <w:p w:rsidR="008D544A" w:rsidRPr="00854BE2" w:rsidRDefault="00FE3F3C" w:rsidP="008D544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claim is clearly stated, focused and strongly maintained </w:t>
            </w:r>
          </w:p>
          <w:p w:rsidR="008D544A" w:rsidRPr="00854BE2" w:rsidRDefault="00FE3F3C" w:rsidP="008D544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alternate or opposing claims are clearly addressed* </w:t>
            </w:r>
            <w:r>
              <w:rPr>
                <w:sz w:val="18"/>
                <w:szCs w:val="18"/>
              </w:rPr>
              <w:t>(begins in 7</w:t>
            </w:r>
            <w:r w:rsidRPr="00854BE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grade)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claim is introduced and communicated clearly within the context </w:t>
            </w:r>
          </w:p>
        </w:tc>
        <w:tc>
          <w:tcPr>
            <w:tcW w:w="33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The response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has a clear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and effective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organizational structure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creating unity and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completeness: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effective, consistent use of a variety of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transitional strategies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logical progression of ideas from beginning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to end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effective introduction and conclusion for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audience and purpose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strong connections among ideas, with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 xml:space="preserve">some syntactic variety </w:t>
            </w:r>
          </w:p>
          <w:p w:rsidR="008D544A" w:rsidRPr="002A1939" w:rsidRDefault="001A09D1" w:rsidP="008D544A">
            <w:pPr>
              <w:pStyle w:val="ListParagraph"/>
              <w:spacing w:after="0" w:line="240" w:lineRule="auto"/>
              <w:ind w:left="162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The response provides thorough and convincing support/evidence for the writer’s claim that includes the effective use of sources, facts, and details. The response achieves substantial depth that is specific and relevant: </w:t>
            </w:r>
          </w:p>
          <w:p w:rsidR="008D544A" w:rsidRPr="00854BE2" w:rsidRDefault="00FE3F3C" w:rsidP="008D544A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use of evidence from sources is smoothly integrated, comprehensive, relevant, and concrete </w:t>
            </w:r>
          </w:p>
          <w:p w:rsidR="008D544A" w:rsidRPr="00854BE2" w:rsidRDefault="00FE3F3C" w:rsidP="008D544A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effective use of a variety of elaborative techniques 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The response clearly and effectively expresses ideas, using precise language: </w:t>
            </w:r>
          </w:p>
          <w:p w:rsidR="008D544A" w:rsidRPr="00854BE2" w:rsidRDefault="00FE3F3C" w:rsidP="008D544A">
            <w:pPr>
              <w:numPr>
                <w:ilvl w:val="0"/>
                <w:numId w:val="1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use of academic and domain-specific vocabulary is clearly appropriate for the audience and purpose </w:t>
            </w:r>
          </w:p>
          <w:p w:rsidR="008D544A" w:rsidRPr="00854BE2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  <w:p w:rsidR="008D544A" w:rsidRPr="002A1939" w:rsidRDefault="001A09D1" w:rsidP="008D544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D544A" w:rsidRPr="002A1939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2A1939">
              <w:rPr>
                <w:sz w:val="18"/>
                <w:szCs w:val="18"/>
              </w:rPr>
              <w:t>The response demonstrates a strong command of conventions:</w:t>
            </w:r>
          </w:p>
          <w:p w:rsidR="008D544A" w:rsidRPr="002A1939" w:rsidRDefault="00FE3F3C" w:rsidP="008D54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66"/>
              <w:rPr>
                <w:sz w:val="18"/>
                <w:szCs w:val="18"/>
              </w:rPr>
            </w:pPr>
            <w:r w:rsidRPr="002A1939">
              <w:rPr>
                <w:sz w:val="18"/>
                <w:szCs w:val="18"/>
              </w:rPr>
              <w:t>few, if any, errors in usage and sentence formation</w:t>
            </w:r>
          </w:p>
          <w:p w:rsidR="008D544A" w:rsidRPr="002A1939" w:rsidRDefault="00FE3F3C" w:rsidP="008D54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66"/>
              <w:rPr>
                <w:sz w:val="18"/>
                <w:szCs w:val="18"/>
              </w:rPr>
            </w:pPr>
            <w:r w:rsidRPr="002A1939">
              <w:rPr>
                <w:sz w:val="18"/>
                <w:szCs w:val="18"/>
              </w:rPr>
              <w:t>effective and consistent use of punctuation,</w:t>
            </w:r>
            <w:r>
              <w:rPr>
                <w:sz w:val="18"/>
                <w:szCs w:val="18"/>
              </w:rPr>
              <w:t xml:space="preserve"> </w:t>
            </w:r>
            <w:r w:rsidRPr="002A1939">
              <w:rPr>
                <w:sz w:val="18"/>
                <w:szCs w:val="18"/>
              </w:rPr>
              <w:t>capitalization, and spelling</w:t>
            </w:r>
          </w:p>
        </w:tc>
      </w:tr>
    </w:tbl>
    <w:p w:rsidR="008D544A" w:rsidRDefault="00FE3F3C">
      <w:r>
        <w:br w:type="page"/>
      </w:r>
    </w:p>
    <w:tbl>
      <w:tblPr>
        <w:tblpPr w:leftFromText="180" w:rightFromText="180" w:horzAnchor="margin" w:tblpY="52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070"/>
        <w:gridCol w:w="2070"/>
        <w:gridCol w:w="2070"/>
        <w:gridCol w:w="3150"/>
        <w:gridCol w:w="2160"/>
        <w:gridCol w:w="2520"/>
      </w:tblGrid>
      <w:tr w:rsidR="008D544A" w:rsidRPr="002A1939">
        <w:trPr>
          <w:trHeight w:val="210"/>
        </w:trPr>
        <w:tc>
          <w:tcPr>
            <w:tcW w:w="1477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8D544A" w:rsidRPr="00414713" w:rsidRDefault="00FE3F3C" w:rsidP="008D544A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Adapted </w:t>
            </w:r>
            <w:r w:rsidRPr="00414713">
              <w:rPr>
                <w:b/>
                <w:szCs w:val="18"/>
              </w:rPr>
              <w:t xml:space="preserve">Smarter Balanced </w:t>
            </w:r>
            <w:r>
              <w:rPr>
                <w:b/>
                <w:szCs w:val="18"/>
              </w:rPr>
              <w:t>Argumentative</w:t>
            </w:r>
            <w:r w:rsidRPr="00414713">
              <w:rPr>
                <w:b/>
                <w:szCs w:val="18"/>
              </w:rPr>
              <w:t xml:space="preserve"> Writing Rubric</w:t>
            </w:r>
          </w:p>
        </w:tc>
      </w:tr>
      <w:tr w:rsidR="008D544A" w:rsidRPr="002A1939">
        <w:trPr>
          <w:trHeight w:val="192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D544A" w:rsidRPr="002A1939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Scientific Explanation</w:t>
            </w:r>
          </w:p>
        </w:tc>
        <w:tc>
          <w:tcPr>
            <w:tcW w:w="53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and Language</w:t>
            </w:r>
          </w:p>
        </w:tc>
        <w:tc>
          <w:tcPr>
            <w:tcW w:w="2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Conventions</w:t>
            </w:r>
          </w:p>
        </w:tc>
      </w:tr>
      <w:tr w:rsidR="008D544A" w:rsidRPr="002A1939">
        <w:trPr>
          <w:trHeight w:val="242"/>
        </w:trPr>
        <w:tc>
          <w:tcPr>
            <w:tcW w:w="73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2070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</w:t>
            </w:r>
          </w:p>
        </w:tc>
        <w:tc>
          <w:tcPr>
            <w:tcW w:w="2070" w:type="dxa"/>
            <w:tcBorders>
              <w:left w:val="single" w:sz="6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Scientific Reasoning</w:t>
            </w:r>
          </w:p>
        </w:tc>
        <w:tc>
          <w:tcPr>
            <w:tcW w:w="3150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Language and Vocabulary</w:t>
            </w:r>
          </w:p>
        </w:tc>
        <w:tc>
          <w:tcPr>
            <w:tcW w:w="2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544A" w:rsidRPr="002A1939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D544A" w:rsidRPr="002A1939">
        <w:trPr>
          <w:trHeight w:val="2150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:rsidR="008D544A" w:rsidRPr="002A1939" w:rsidRDefault="00FE3F3C" w:rsidP="008D54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19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  The response is fully sustained and consistently and purposefully focused: </w:t>
            </w:r>
          </w:p>
          <w:p w:rsidR="008D544A" w:rsidRPr="00854BE2" w:rsidRDefault="00FE3F3C" w:rsidP="008D544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</w:t>
            </w:r>
            <w:r w:rsidRPr="00C4363E">
              <w:rPr>
                <w:sz w:val="18"/>
                <w:szCs w:val="18"/>
                <w:highlight w:val="yellow"/>
              </w:rPr>
              <w:t>laim compares the density of each liquid to ice is clearly stated, focused and strongly maintained</w:t>
            </w:r>
            <w:r w:rsidRPr="00854BE2">
              <w:rPr>
                <w:sz w:val="18"/>
                <w:szCs w:val="18"/>
              </w:rPr>
              <w:t xml:space="preserve"> </w:t>
            </w:r>
          </w:p>
          <w:p w:rsidR="008D544A" w:rsidRPr="00C4363E" w:rsidRDefault="00FE3F3C" w:rsidP="008D544A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sz w:val="18"/>
                <w:szCs w:val="18"/>
                <w:highlight w:val="lightGray"/>
              </w:rPr>
            </w:pPr>
            <w:r w:rsidRPr="00C4363E">
              <w:rPr>
                <w:sz w:val="18"/>
                <w:szCs w:val="18"/>
                <w:highlight w:val="lightGray"/>
              </w:rPr>
              <w:t>alternate or opposing claims are clearly addressed* (begins in 7</w:t>
            </w:r>
            <w:r w:rsidRPr="00C4363E">
              <w:rPr>
                <w:sz w:val="18"/>
                <w:szCs w:val="18"/>
                <w:highlight w:val="lightGray"/>
                <w:vertAlign w:val="superscript"/>
              </w:rPr>
              <w:t>th</w:t>
            </w:r>
            <w:r w:rsidRPr="00C4363E">
              <w:rPr>
                <w:sz w:val="18"/>
                <w:szCs w:val="18"/>
                <w:highlight w:val="lightGray"/>
              </w:rPr>
              <w:t xml:space="preserve"> grade)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proofErr w:type="gramStart"/>
            <w:r w:rsidRPr="00854BE2">
              <w:rPr>
                <w:sz w:val="18"/>
                <w:szCs w:val="18"/>
              </w:rPr>
              <w:t>claim</w:t>
            </w:r>
            <w:proofErr w:type="gramEnd"/>
            <w:r w:rsidRPr="00854BE2">
              <w:rPr>
                <w:sz w:val="18"/>
                <w:szCs w:val="18"/>
              </w:rPr>
              <w:t xml:space="preserve"> is introduced and communicated </w:t>
            </w:r>
            <w:r w:rsidRPr="00C4363E">
              <w:rPr>
                <w:sz w:val="18"/>
                <w:szCs w:val="18"/>
                <w:highlight w:val="yellow"/>
              </w:rPr>
              <w:t>clearly by naming # on liquid comparing to ice.</w:t>
            </w:r>
            <w:r>
              <w:rPr>
                <w:sz w:val="18"/>
                <w:szCs w:val="18"/>
              </w:rPr>
              <w:t xml:space="preserve"> </w:t>
            </w:r>
            <w:r w:rsidRPr="00C4363E">
              <w:rPr>
                <w:sz w:val="18"/>
                <w:szCs w:val="18"/>
                <w:highlight w:val="lightGray"/>
              </w:rPr>
              <w:t>within the context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The response provides thorough and convincing support/evidence for the writer’s claim that includes the effective use of sources, facts, and details. The response achieves substantial depth that is specific and relevant: </w:t>
            </w:r>
          </w:p>
          <w:p w:rsidR="008D544A" w:rsidRPr="00854BE2" w:rsidRDefault="00FE3F3C" w:rsidP="008D544A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proofErr w:type="gramStart"/>
            <w:r w:rsidRPr="00854BE2">
              <w:rPr>
                <w:sz w:val="18"/>
                <w:szCs w:val="18"/>
              </w:rPr>
              <w:t>use</w:t>
            </w:r>
            <w:proofErr w:type="gramEnd"/>
            <w:r w:rsidRPr="00854BE2">
              <w:rPr>
                <w:sz w:val="18"/>
                <w:szCs w:val="18"/>
              </w:rPr>
              <w:t xml:space="preserve"> of evidence from </w:t>
            </w:r>
            <w:r w:rsidRPr="00C4363E">
              <w:rPr>
                <w:sz w:val="18"/>
                <w:szCs w:val="18"/>
                <w:highlight w:val="yellow"/>
              </w:rPr>
              <w:t>multiple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sources</w:t>
            </w:r>
            <w:r>
              <w:rPr>
                <w:sz w:val="18"/>
                <w:szCs w:val="18"/>
              </w:rPr>
              <w:t xml:space="preserve"> </w:t>
            </w:r>
            <w:r w:rsidRPr="00C4363E">
              <w:rPr>
                <w:sz w:val="18"/>
                <w:szCs w:val="18"/>
                <w:highlight w:val="yellow"/>
              </w:rPr>
              <w:t>(science notebook labs and reading text)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 xml:space="preserve"> is sm</w:t>
            </w:r>
            <w:r>
              <w:rPr>
                <w:sz w:val="18"/>
                <w:szCs w:val="18"/>
              </w:rPr>
              <w:t xml:space="preserve">oothly integrated, </w:t>
            </w:r>
            <w:r w:rsidRPr="00C4363E">
              <w:rPr>
                <w:sz w:val="18"/>
                <w:szCs w:val="18"/>
                <w:highlight w:val="yellow"/>
              </w:rPr>
              <w:t xml:space="preserve">relevant </w:t>
            </w:r>
            <w:r>
              <w:rPr>
                <w:sz w:val="18"/>
                <w:szCs w:val="18"/>
                <w:highlight w:val="yellow"/>
              </w:rPr>
              <w:t xml:space="preserve">and concrete </w:t>
            </w:r>
            <w:r w:rsidRPr="00C4363E">
              <w:rPr>
                <w:sz w:val="18"/>
                <w:szCs w:val="18"/>
                <w:highlight w:val="yellow"/>
              </w:rPr>
              <w:t>to the claim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highlight w:val="yellow"/>
              </w:rPr>
              <w:t>and provides scientific reason</w:t>
            </w:r>
            <w:r w:rsidRPr="00C4363E">
              <w:rPr>
                <w:sz w:val="18"/>
                <w:szCs w:val="18"/>
                <w:highlight w:val="yellow"/>
              </w:rPr>
              <w:t>ing</w:t>
            </w:r>
            <w:r>
              <w:rPr>
                <w:sz w:val="18"/>
                <w:szCs w:val="18"/>
              </w:rPr>
              <w:t xml:space="preserve">.  </w:t>
            </w:r>
          </w:p>
          <w:p w:rsidR="008D544A" w:rsidRPr="002A1939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C4363E">
              <w:rPr>
                <w:sz w:val="18"/>
                <w:szCs w:val="18"/>
                <w:highlight w:val="lightGray"/>
              </w:rPr>
              <w:t>effective use of a variety of elaborative techniques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544A" w:rsidRPr="002A1939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FA4F61">
              <w:rPr>
                <w:sz w:val="18"/>
                <w:szCs w:val="18"/>
                <w:highlight w:val="yellow"/>
              </w:rPr>
              <w:t>Provides reasoning that connects the evidence (observations about density of each liquid in relationship to ice</w:t>
            </w:r>
            <w:proofErr w:type="gramStart"/>
            <w:r w:rsidRPr="00FA4F61">
              <w:rPr>
                <w:sz w:val="18"/>
                <w:szCs w:val="18"/>
                <w:highlight w:val="yellow"/>
              </w:rPr>
              <w:t>)  to</w:t>
            </w:r>
            <w:proofErr w:type="gramEnd"/>
            <w:r w:rsidRPr="00FA4F61">
              <w:rPr>
                <w:sz w:val="18"/>
                <w:szCs w:val="18"/>
                <w:highlight w:val="yellow"/>
              </w:rPr>
              <w:t xml:space="preserve"> the claim.  Includes appropriate and sufficient scientific principles.  E.g. Density is due to molecular structure of materials.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 The response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has a clear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and effective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organizational structure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creating unity and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completeness: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effective, consistent use of a variety of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transitional strategies</w:t>
            </w:r>
          </w:p>
          <w:p w:rsidR="008D544A" w:rsidRPr="00C4363E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  <w:highlight w:val="yellow"/>
              </w:rPr>
            </w:pPr>
            <w:proofErr w:type="gramStart"/>
            <w:r w:rsidRPr="00854BE2">
              <w:rPr>
                <w:sz w:val="18"/>
                <w:szCs w:val="18"/>
              </w:rPr>
              <w:t>logical</w:t>
            </w:r>
            <w:proofErr w:type="gramEnd"/>
            <w:r w:rsidRPr="00854BE2">
              <w:rPr>
                <w:sz w:val="18"/>
                <w:szCs w:val="18"/>
              </w:rPr>
              <w:t xml:space="preserve"> pro</w:t>
            </w:r>
            <w:r>
              <w:rPr>
                <w:sz w:val="18"/>
                <w:szCs w:val="18"/>
              </w:rPr>
              <w:t xml:space="preserve">gression of ideas from </w:t>
            </w:r>
            <w:r w:rsidRPr="00C4363E">
              <w:rPr>
                <w:sz w:val="18"/>
                <w:szCs w:val="18"/>
                <w:highlight w:val="yellow"/>
              </w:rPr>
              <w:t>claim to evidence to scientific reasoning.</w:t>
            </w:r>
          </w:p>
          <w:p w:rsidR="008D544A" w:rsidRPr="00854BE2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effective introduction and conclusion for</w:t>
            </w:r>
            <w:r>
              <w:rPr>
                <w:sz w:val="18"/>
                <w:szCs w:val="18"/>
              </w:rPr>
              <w:t xml:space="preserve"> </w:t>
            </w:r>
            <w:r w:rsidRPr="00C4363E">
              <w:rPr>
                <w:sz w:val="18"/>
                <w:szCs w:val="18"/>
                <w:highlight w:val="lightGray"/>
              </w:rPr>
              <w:t>non-scientific  or</w:t>
            </w:r>
            <w:r>
              <w:rPr>
                <w:sz w:val="18"/>
                <w:szCs w:val="18"/>
              </w:rPr>
              <w:t xml:space="preserve"> </w:t>
            </w:r>
            <w:r w:rsidRPr="00C4363E">
              <w:rPr>
                <w:sz w:val="18"/>
                <w:szCs w:val="18"/>
                <w:highlight w:val="yellow"/>
              </w:rPr>
              <w:t>scientific</w:t>
            </w:r>
            <w:r>
              <w:rPr>
                <w:sz w:val="18"/>
                <w:szCs w:val="18"/>
              </w:rPr>
              <w:t xml:space="preserve"> </w:t>
            </w:r>
            <w:r w:rsidRPr="00854BE2">
              <w:rPr>
                <w:sz w:val="18"/>
                <w:szCs w:val="18"/>
              </w:rPr>
              <w:t>audience and purpose</w:t>
            </w:r>
          </w:p>
          <w:p w:rsidR="008D544A" w:rsidRPr="00C4363E" w:rsidRDefault="00FE3F3C" w:rsidP="008D544A">
            <w:pPr>
              <w:numPr>
                <w:ilvl w:val="0"/>
                <w:numId w:val="13"/>
              </w:numPr>
              <w:spacing w:after="0" w:line="240" w:lineRule="auto"/>
              <w:ind w:left="162" w:hanging="162"/>
              <w:rPr>
                <w:sz w:val="18"/>
                <w:szCs w:val="18"/>
                <w:highlight w:val="lightGray"/>
              </w:rPr>
            </w:pPr>
            <w:r w:rsidRPr="00854BE2">
              <w:rPr>
                <w:sz w:val="18"/>
                <w:szCs w:val="18"/>
              </w:rPr>
              <w:t xml:space="preserve">strong connections among ideas, </w:t>
            </w:r>
            <w:r w:rsidRPr="00C4363E">
              <w:rPr>
                <w:sz w:val="18"/>
                <w:szCs w:val="18"/>
                <w:highlight w:val="lightGray"/>
              </w:rPr>
              <w:t xml:space="preserve">with some syntactic variety </w:t>
            </w:r>
          </w:p>
          <w:p w:rsidR="008D544A" w:rsidRPr="00854BE2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D544A" w:rsidRPr="00854BE2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 xml:space="preserve">The response clearly and effectively expresses ideas, using precise language: </w:t>
            </w:r>
          </w:p>
          <w:p w:rsidR="008D544A" w:rsidRPr="00854BE2" w:rsidRDefault="00FE3F3C" w:rsidP="008D544A">
            <w:pPr>
              <w:numPr>
                <w:ilvl w:val="0"/>
                <w:numId w:val="15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854BE2">
              <w:rPr>
                <w:sz w:val="18"/>
                <w:szCs w:val="18"/>
              </w:rPr>
              <w:t>use of academic and domain-specific vocabulary</w:t>
            </w:r>
            <w:r>
              <w:rPr>
                <w:sz w:val="18"/>
                <w:szCs w:val="18"/>
              </w:rPr>
              <w:t xml:space="preserve"> (</w:t>
            </w:r>
            <w:r w:rsidRPr="00C4363E">
              <w:rPr>
                <w:sz w:val="18"/>
                <w:szCs w:val="18"/>
                <w:highlight w:val="yellow"/>
              </w:rPr>
              <w:t>density, liquid #1 and #2, does not confuse density with weight)</w:t>
            </w:r>
            <w:r w:rsidRPr="00854BE2">
              <w:rPr>
                <w:sz w:val="18"/>
                <w:szCs w:val="18"/>
              </w:rPr>
              <w:t xml:space="preserve"> is clearly appropriate for the audience and purpose </w:t>
            </w:r>
          </w:p>
          <w:p w:rsidR="008D544A" w:rsidRPr="00854BE2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  <w:p w:rsidR="008D544A" w:rsidRPr="002A1939" w:rsidRDefault="001A09D1" w:rsidP="008D54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D544A" w:rsidRPr="002A1939" w:rsidRDefault="00FE3F3C" w:rsidP="008D544A">
            <w:pPr>
              <w:spacing w:after="0" w:line="240" w:lineRule="auto"/>
              <w:rPr>
                <w:sz w:val="18"/>
                <w:szCs w:val="18"/>
              </w:rPr>
            </w:pPr>
            <w:r w:rsidRPr="002A1939">
              <w:rPr>
                <w:sz w:val="18"/>
                <w:szCs w:val="18"/>
              </w:rPr>
              <w:t>The response demonstrates a strong command of conventions:</w:t>
            </w:r>
          </w:p>
          <w:p w:rsidR="008D544A" w:rsidRPr="002A1939" w:rsidRDefault="00FE3F3C" w:rsidP="008D54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66"/>
              <w:rPr>
                <w:sz w:val="18"/>
                <w:szCs w:val="18"/>
              </w:rPr>
            </w:pPr>
            <w:r w:rsidRPr="002A1939">
              <w:rPr>
                <w:sz w:val="18"/>
                <w:szCs w:val="18"/>
              </w:rPr>
              <w:t>few, if any, errors in usage and sentence formation</w:t>
            </w:r>
          </w:p>
          <w:p w:rsidR="008D544A" w:rsidRPr="002A1939" w:rsidRDefault="00FE3F3C" w:rsidP="008D54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6" w:hanging="166"/>
              <w:rPr>
                <w:sz w:val="18"/>
                <w:szCs w:val="18"/>
              </w:rPr>
            </w:pPr>
            <w:r w:rsidRPr="00FA4F61">
              <w:rPr>
                <w:sz w:val="18"/>
                <w:szCs w:val="18"/>
                <w:highlight w:val="lightGray"/>
              </w:rPr>
              <w:t>effective and consistent use of punctuation, capitalization, and spelling</w:t>
            </w:r>
          </w:p>
        </w:tc>
      </w:tr>
    </w:tbl>
    <w:p w:rsidR="008D544A" w:rsidRPr="002A1939" w:rsidRDefault="001A09D1" w:rsidP="008D544A">
      <w:pPr>
        <w:rPr>
          <w:sz w:val="18"/>
          <w:szCs w:val="18"/>
        </w:rPr>
      </w:pPr>
    </w:p>
    <w:sectPr w:rsidR="008D544A" w:rsidRPr="002A1939" w:rsidSect="008D544A">
      <w:pgSz w:w="15840" w:h="12240" w:orient="landscape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3C" w:rsidRDefault="00FE3F3C" w:rsidP="008D544A">
      <w:pPr>
        <w:spacing w:after="0" w:line="240" w:lineRule="auto"/>
      </w:pPr>
      <w:r>
        <w:separator/>
      </w:r>
    </w:p>
  </w:endnote>
  <w:endnote w:type="continuationSeparator" w:id="0">
    <w:p w:rsidR="00FE3F3C" w:rsidRDefault="00FE3F3C" w:rsidP="008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3C" w:rsidRDefault="00FE3F3C" w:rsidP="008D544A">
      <w:pPr>
        <w:spacing w:after="0" w:line="240" w:lineRule="auto"/>
      </w:pPr>
      <w:r>
        <w:separator/>
      </w:r>
    </w:p>
  </w:footnote>
  <w:footnote w:type="continuationSeparator" w:id="0">
    <w:p w:rsidR="00FE3F3C" w:rsidRDefault="00FE3F3C" w:rsidP="008D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DAB"/>
    <w:multiLevelType w:val="hybridMultilevel"/>
    <w:tmpl w:val="9BA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B4A4F"/>
    <w:multiLevelType w:val="hybridMultilevel"/>
    <w:tmpl w:val="8648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0577D"/>
    <w:multiLevelType w:val="hybridMultilevel"/>
    <w:tmpl w:val="49A24A20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>
    <w:nsid w:val="11115CC0"/>
    <w:multiLevelType w:val="hybridMultilevel"/>
    <w:tmpl w:val="E716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F4A15"/>
    <w:multiLevelType w:val="hybridMultilevel"/>
    <w:tmpl w:val="A5DA4BE4"/>
    <w:lvl w:ilvl="0" w:tplc="04090001">
      <w:start w:val="1"/>
      <w:numFmt w:val="bullet"/>
      <w:lvlText w:val=""/>
      <w:lvlJc w:val="left"/>
      <w:pPr>
        <w:ind w:left="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</w:abstractNum>
  <w:abstractNum w:abstractNumId="5">
    <w:nsid w:val="16270487"/>
    <w:multiLevelType w:val="hybridMultilevel"/>
    <w:tmpl w:val="A0601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D0398"/>
    <w:multiLevelType w:val="hybridMultilevel"/>
    <w:tmpl w:val="1ACA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53F84"/>
    <w:multiLevelType w:val="hybridMultilevel"/>
    <w:tmpl w:val="30A6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845E3"/>
    <w:multiLevelType w:val="hybridMultilevel"/>
    <w:tmpl w:val="A6DC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163FFB"/>
    <w:multiLevelType w:val="hybridMultilevel"/>
    <w:tmpl w:val="63E6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621CE"/>
    <w:multiLevelType w:val="hybridMultilevel"/>
    <w:tmpl w:val="97B81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2F30E3"/>
    <w:multiLevelType w:val="hybridMultilevel"/>
    <w:tmpl w:val="43B04D7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2">
    <w:nsid w:val="45ED49B7"/>
    <w:multiLevelType w:val="hybridMultilevel"/>
    <w:tmpl w:val="626AF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47BDE"/>
    <w:multiLevelType w:val="hybridMultilevel"/>
    <w:tmpl w:val="712C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C092C"/>
    <w:multiLevelType w:val="hybridMultilevel"/>
    <w:tmpl w:val="AA62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F1E4E"/>
    <w:multiLevelType w:val="hybridMultilevel"/>
    <w:tmpl w:val="6454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A63C28"/>
    <w:multiLevelType w:val="hybridMultilevel"/>
    <w:tmpl w:val="AC40B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751F83"/>
    <w:multiLevelType w:val="hybridMultilevel"/>
    <w:tmpl w:val="0734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C550E8"/>
    <w:multiLevelType w:val="hybridMultilevel"/>
    <w:tmpl w:val="2820A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E631B7"/>
    <w:multiLevelType w:val="hybridMultilevel"/>
    <w:tmpl w:val="32C63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6"/>
  </w:num>
  <w:num w:numId="7">
    <w:abstractNumId w:val="2"/>
  </w:num>
  <w:num w:numId="8">
    <w:abstractNumId w:val="11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1"/>
    <w:rsid w:val="001A09D1"/>
    <w:rsid w:val="00FE3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F5D4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E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4E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14713"/>
    <w:rPr>
      <w:rFonts w:cs="Times New Roman"/>
    </w:rPr>
  </w:style>
  <w:style w:type="paragraph" w:styleId="Footer">
    <w:name w:val="footer"/>
    <w:basedOn w:val="Normal"/>
    <w:link w:val="FooterChar"/>
    <w:rsid w:val="0041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4147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F5D4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E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4E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14713"/>
    <w:rPr>
      <w:rFonts w:cs="Times New Roman"/>
    </w:rPr>
  </w:style>
  <w:style w:type="paragraph" w:styleId="Footer">
    <w:name w:val="footer"/>
    <w:basedOn w:val="Normal"/>
    <w:link w:val="FooterChar"/>
    <w:rsid w:val="0041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414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Narrative Focus and Organization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Narrative Focus and Organization</dc:title>
  <dc:creator>kcerwin</dc:creator>
  <cp:lastModifiedBy>NSTA</cp:lastModifiedBy>
  <cp:revision>2</cp:revision>
  <cp:lastPrinted>2012-10-19T18:12:00Z</cp:lastPrinted>
  <dcterms:created xsi:type="dcterms:W3CDTF">2014-04-14T12:58:00Z</dcterms:created>
  <dcterms:modified xsi:type="dcterms:W3CDTF">2014-04-14T12:58:00Z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