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5F" w:rsidRDefault="0096015F" w:rsidP="0096015F">
      <w:pPr>
        <w:pStyle w:val="Caption"/>
        <w:keepNext/>
        <w:rPr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96015F" w:rsidRDefault="0096015F" w:rsidP="0096015F">
      <w:pPr>
        <w:pStyle w:val="Caption"/>
        <w:keepNext/>
        <w:rPr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96015F" w:rsidRDefault="0096015F" w:rsidP="0096015F">
      <w:pPr>
        <w:pStyle w:val="Caption"/>
        <w:keepNext/>
        <w:rPr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96015F" w:rsidRPr="008C6CBD" w:rsidRDefault="0096015F" w:rsidP="0096015F">
      <w:pPr>
        <w:pStyle w:val="Caption"/>
        <w:keepNext/>
        <w:rPr>
          <w:i w:val="0"/>
        </w:rPr>
      </w:pPr>
    </w:p>
    <w:p w:rsidR="0096015F" w:rsidRDefault="0096015F" w:rsidP="0096015F">
      <w:pPr>
        <w:pStyle w:val="Caption"/>
        <w:keepNext/>
      </w:pPr>
    </w:p>
    <w:p w:rsidR="0096015F" w:rsidRDefault="0096015F" w:rsidP="0096015F">
      <w:pPr>
        <w:pStyle w:val="Caption"/>
        <w:keepNext/>
      </w:pPr>
    </w:p>
    <w:p w:rsidR="0096015F" w:rsidRDefault="0096015F" w:rsidP="0096015F">
      <w:pPr>
        <w:pStyle w:val="Caption"/>
        <w:keepNext/>
      </w:pPr>
    </w:p>
    <w:p w:rsidR="0096015F" w:rsidRDefault="0096015F" w:rsidP="0096015F">
      <w:pPr>
        <w:pStyle w:val="Caption"/>
        <w:keepNext/>
      </w:pPr>
    </w:p>
    <w:p w:rsidR="0096015F" w:rsidRDefault="0096015F" w:rsidP="0096015F">
      <w:pPr>
        <w:pStyle w:val="Caption"/>
        <w:keepNext/>
      </w:pPr>
    </w:p>
    <w:p w:rsidR="0096015F" w:rsidRDefault="0096015F" w:rsidP="0096015F">
      <w:pPr>
        <w:spacing w:after="0"/>
        <w:rPr>
          <w:b/>
        </w:rPr>
        <w:sectPr w:rsidR="0096015F" w:rsidSect="00BD1A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015F" w:rsidRPr="008C6CBD" w:rsidRDefault="0096015F" w:rsidP="0096015F">
      <w:pPr>
        <w:pStyle w:val="Caption"/>
        <w:keepNext/>
        <w:rPr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i w:val="0"/>
          <w:color w:val="auto"/>
          <w:sz w:val="20"/>
          <w:szCs w:val="20"/>
        </w:rPr>
        <w:lastRenderedPageBreak/>
        <w:t>Sample rubric with</w:t>
      </w:r>
      <w:r w:rsidRPr="008C6CBD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0"/>
          <w:szCs w:val="20"/>
        </w:rPr>
        <w:t>c</w:t>
      </w:r>
      <w:r w:rsidRPr="008C6CBD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onnections to </w:t>
      </w:r>
      <w:r w:rsidRPr="00666413">
        <w:rPr>
          <w:rFonts w:ascii="Times New Roman" w:hAnsi="Times New Roman" w:cs="Times New Roman"/>
          <w:color w:val="auto"/>
          <w:sz w:val="20"/>
          <w:szCs w:val="20"/>
        </w:rPr>
        <w:t>Next Generation Science Standards</w:t>
      </w:r>
      <w:r w:rsidRPr="008C6CBD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 w:rsidRPr="00666413">
        <w:rPr>
          <w:rFonts w:ascii="Times New Roman" w:hAnsi="Times New Roman" w:cs="Times New Roman"/>
          <w:color w:val="auto"/>
          <w:sz w:val="20"/>
          <w:szCs w:val="20"/>
        </w:rPr>
        <w:t>(NGSS</w:t>
      </w:r>
      <w:r w:rsidRPr="008C6CBD">
        <w:rPr>
          <w:rFonts w:ascii="Times New Roman" w:hAnsi="Times New Roman" w:cs="Times New Roman"/>
          <w:i w:val="0"/>
          <w:color w:val="auto"/>
          <w:sz w:val="20"/>
          <w:szCs w:val="20"/>
        </w:rPr>
        <w:t>)</w:t>
      </w:r>
      <w:r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</w:t>
      </w:r>
      <w:r w:rsidRPr="00CE6D38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showing </w:t>
      </w:r>
      <w:r w:rsidRPr="008C6CBD">
        <w:rPr>
          <w:rFonts w:ascii="Times New Roman" w:hAnsi="Times New Roman" w:cs="Times New Roman"/>
          <w:i w:val="0"/>
          <w:color w:val="auto"/>
          <w:sz w:val="20"/>
          <w:szCs w:val="20"/>
        </w:rPr>
        <w:t>how instruction outlined in this article can be connected to the NGSS, and how the materials and activities outlined in this article may help students achieve relevant performance expectations</w:t>
      </w:r>
      <w:r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through the NGSS dimensions</w:t>
      </w:r>
      <w:r w:rsidRPr="008C6CBD">
        <w:rPr>
          <w:rFonts w:ascii="Times New Roman" w:hAnsi="Times New Roman" w:cs="Times New Roman"/>
          <w:i w:val="0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 </w:t>
      </w:r>
      <w:r w:rsidRPr="001A31CB">
        <w:rPr>
          <w:rFonts w:ascii="Times New Roman" w:hAnsi="Times New Roman" w:cs="Times New Roman"/>
          <w:color w:val="auto"/>
          <w:sz w:val="20"/>
          <w:szCs w:val="20"/>
        </w:rPr>
        <w:t>Note: The connections listed here and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associated</w:t>
      </w:r>
      <w:r w:rsidRPr="001A31C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rubric expectations are</w:t>
      </w:r>
      <w:r w:rsidRPr="001A31CB">
        <w:rPr>
          <w:rFonts w:ascii="Times New Roman" w:hAnsi="Times New Roman" w:cs="Times New Roman"/>
          <w:color w:val="auto"/>
          <w:sz w:val="20"/>
          <w:szCs w:val="20"/>
        </w:rPr>
        <w:t xml:space="preserve"> not exhaustiv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e—other connections to the science DCI may apply.  </w:t>
      </w:r>
    </w:p>
    <w:tbl>
      <w:tblPr>
        <w:tblStyle w:val="TableGrid"/>
        <w:tblpPr w:leftFromText="180" w:rightFromText="180" w:vertAnchor="text" w:horzAnchor="page" w:tblpX="1080" w:tblpY="16"/>
        <w:tblW w:w="0" w:type="auto"/>
        <w:tblLook w:val="04A0"/>
      </w:tblPr>
      <w:tblGrid>
        <w:gridCol w:w="2761"/>
        <w:gridCol w:w="4246"/>
        <w:gridCol w:w="4009"/>
      </w:tblGrid>
      <w:tr w:rsidR="0096015F" w:rsidRPr="009B063A" w:rsidTr="00CD1CB6">
        <w:trPr>
          <w:trHeight w:val="467"/>
        </w:trPr>
        <w:tc>
          <w:tcPr>
            <w:tcW w:w="0" w:type="auto"/>
            <w:gridSpan w:val="3"/>
            <w:tcBorders>
              <w:bottom w:val="single" w:sz="2" w:space="0" w:color="auto"/>
            </w:tcBorders>
            <w:shd w:val="clear" w:color="auto" w:fill="B8CCE4" w:themeFill="accent1" w:themeFillTint="66"/>
            <w:vAlign w:val="center"/>
          </w:tcPr>
          <w:p w:rsidR="0096015F" w:rsidRPr="00CE13E7" w:rsidRDefault="0096015F" w:rsidP="00CD1CB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13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Integration of NGSS Strands: </w:t>
            </w:r>
            <w:r w:rsidRPr="00CE13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How well does the student integrate disciplinary core ideas, cross cutting concepts, and science/ engineering practices?  </w:t>
            </w:r>
          </w:p>
          <w:p w:rsidR="0096015F" w:rsidRPr="00CE13E7" w:rsidRDefault="0096015F" w:rsidP="00CD1CB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6015F" w:rsidRPr="00CE13E7" w:rsidRDefault="0096015F" w:rsidP="00CD1C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3E7">
              <w:rPr>
                <w:rFonts w:ascii="Times New Roman" w:hAnsi="Times New Roman" w:cs="Times New Roman"/>
                <w:b/>
                <w:sz w:val="18"/>
                <w:szCs w:val="18"/>
              </w:rPr>
              <w:t>Performance Expectations (PE’s)</w:t>
            </w:r>
          </w:p>
          <w:p w:rsidR="0096015F" w:rsidRPr="00CE13E7" w:rsidRDefault="0096015F" w:rsidP="00CD1CB6">
            <w:pPr>
              <w:spacing w:after="0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n-US"/>
              </w:rPr>
            </w:pPr>
          </w:p>
          <w:tbl>
            <w:tblPr>
              <w:tblW w:w="100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76"/>
            </w:tblGrid>
            <w:tr w:rsidR="0096015F" w:rsidRPr="00CE13E7" w:rsidTr="00CD1CB6">
              <w:trPr>
                <w:trHeight w:val="130"/>
              </w:trPr>
              <w:tc>
                <w:tcPr>
                  <w:tcW w:w="1007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96015F" w:rsidRDefault="0096015F" w:rsidP="00666413">
                  <w:pPr>
                    <w:framePr w:hSpace="180" w:wrap="around" w:vAnchor="text" w:hAnchor="page" w:x="1080" w:y="16"/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r w:rsidRPr="00CE13E7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18"/>
                      <w:szCs w:val="18"/>
                      <w:lang w:eastAsia="en-US"/>
                    </w:rPr>
                    <w:t>MS-ESS2-5. Collect data to provide evidence for how the motions and complex interactions of air masses results in changes in weather conditions.</w:t>
                  </w:r>
                </w:p>
                <w:p w:rsidR="0096015F" w:rsidRDefault="0096015F" w:rsidP="00666413">
                  <w:pPr>
                    <w:framePr w:hSpace="180" w:wrap="around" w:vAnchor="text" w:hAnchor="page" w:x="1080" w:y="16"/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</w:p>
                <w:p w:rsidR="0096015F" w:rsidRPr="00CE13E7" w:rsidRDefault="0096015F" w:rsidP="00666413">
                  <w:pPr>
                    <w:framePr w:hSpace="180" w:wrap="around" w:vAnchor="text" w:hAnchor="page" w:x="1080" w:y="16"/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18"/>
                      <w:szCs w:val="18"/>
                      <w:lang w:eastAsia="en-US"/>
                    </w:rPr>
                    <w:t>MS-PS3-3. Apply scientific principles to design, construct, and test a device that either minimizes or maximizes thermal energy transfer.</w:t>
                  </w:r>
                </w:p>
              </w:tc>
            </w:tr>
          </w:tbl>
          <w:p w:rsidR="0096015F" w:rsidRPr="00CE13E7" w:rsidRDefault="0096015F" w:rsidP="00CD1C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15F" w:rsidRPr="009B063A" w:rsidTr="00CD1CB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96015F" w:rsidRPr="00CE13E7" w:rsidRDefault="0096015F" w:rsidP="00CD1C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96015F" w:rsidRPr="00CE13E7" w:rsidRDefault="0096015F" w:rsidP="00CD1CB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13E7">
              <w:rPr>
                <w:rFonts w:ascii="Times New Roman" w:hAnsi="Times New Roman" w:cs="Times New Roman"/>
                <w:i/>
                <w:sz w:val="18"/>
                <w:szCs w:val="18"/>
              </w:rPr>
              <w:t>Uses science/engineering practice(s) to demonstrate and apply content while making connections to the cross cutting concepts with minor errors.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8CCE4" w:themeFill="accent1" w:themeFillTint="66"/>
          </w:tcPr>
          <w:p w:rsidR="0096015F" w:rsidRPr="00CE13E7" w:rsidRDefault="0096015F" w:rsidP="00CD1CB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13E7">
              <w:rPr>
                <w:rFonts w:ascii="Times New Roman" w:hAnsi="Times New Roman" w:cs="Times New Roman"/>
                <w:i/>
                <w:sz w:val="18"/>
                <w:szCs w:val="18"/>
              </w:rPr>
              <w:t>Uses science/engineering practice(s) to demonstrate and apply accurate content and makes connections to the cross cutting concepts</w:t>
            </w:r>
          </w:p>
        </w:tc>
      </w:tr>
      <w:tr w:rsidR="0096015F" w:rsidRPr="009B063A" w:rsidTr="00CD1CB6">
        <w:trPr>
          <w:trHeight w:val="485"/>
        </w:trPr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6015F" w:rsidRPr="00CE13E7" w:rsidRDefault="0096015F" w:rsidP="00CD1C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NGSS Dimension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6015F" w:rsidRPr="00CE13E7" w:rsidRDefault="0096015F" w:rsidP="00CD1C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3E7">
              <w:rPr>
                <w:rFonts w:ascii="Times New Roman" w:hAnsi="Times New Roman" w:cs="Times New Roman"/>
                <w:b/>
                <w:sz w:val="18"/>
                <w:szCs w:val="18"/>
              </w:rPr>
              <w:t>Approaches Expectations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6015F" w:rsidRPr="00CE13E7" w:rsidRDefault="0096015F" w:rsidP="00CD1C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3E7">
              <w:rPr>
                <w:rFonts w:ascii="Times New Roman" w:hAnsi="Times New Roman" w:cs="Times New Roman"/>
                <w:b/>
                <w:sz w:val="18"/>
                <w:szCs w:val="18"/>
              </w:rPr>
              <w:t>Meets Expectations</w:t>
            </w:r>
          </w:p>
        </w:tc>
      </w:tr>
      <w:tr w:rsidR="0096015F" w:rsidRPr="009B063A" w:rsidTr="00CD1CB6">
        <w:trPr>
          <w:trHeight w:hRule="exact" w:val="3024"/>
        </w:trPr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96015F" w:rsidRPr="00890A66" w:rsidRDefault="0096015F" w:rsidP="00CD1C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0A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Science &amp; Engineering Practices</w:t>
            </w:r>
          </w:p>
          <w:p w:rsidR="0096015F" w:rsidRPr="00890A66" w:rsidRDefault="0096015F" w:rsidP="00CD1C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A66">
              <w:rPr>
                <w:rFonts w:ascii="Times New Roman" w:hAnsi="Times New Roman" w:cs="Times New Roman"/>
                <w:sz w:val="18"/>
                <w:szCs w:val="18"/>
              </w:rPr>
              <w:t>Planning &amp; Carrying Out Investigations; Analyzing and Interpreting Data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96015F" w:rsidRPr="00CE13E7" w:rsidRDefault="0096015F" w:rsidP="00CD1CB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13E7">
              <w:rPr>
                <w:rFonts w:ascii="Times New Roman" w:hAnsi="Times New Roman" w:cs="Times New Roman"/>
                <w:i/>
                <w:sz w:val="18"/>
                <w:szCs w:val="18"/>
              </w:rPr>
              <w:t>Asks testable questions that require sufficient and relevant evidence to answer.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22DB3">
              <w:rPr>
                <w:rFonts w:ascii="Times New Roman" w:hAnsi="Times New Roman" w:cs="Times New Roman"/>
                <w:i/>
                <w:sz w:val="18"/>
                <w:szCs w:val="18"/>
              </w:rPr>
              <w:t>Identifies the limitations of the data analysis (e.g., measurement error, sample selection) with minor errors or omissions.</w:t>
            </w:r>
          </w:p>
          <w:p w:rsidR="0096015F" w:rsidRPr="006C194A" w:rsidRDefault="0096015F" w:rsidP="0096015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13E7">
              <w:rPr>
                <w:rFonts w:ascii="Times New Roman" w:hAnsi="Times New Roman" w:cs="Times New Roman"/>
                <w:sz w:val="18"/>
                <w:szCs w:val="18"/>
              </w:rPr>
              <w:t>Students ask a question that does not take into account the assigned boundary conditions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discussed in the article text</w:t>
            </w:r>
            <w:r w:rsidRPr="00CE13E7">
              <w:rPr>
                <w:rFonts w:ascii="Times New Roman" w:hAnsi="Times New Roman" w:cs="Times New Roman"/>
                <w:sz w:val="18"/>
                <w:szCs w:val="18"/>
              </w:rPr>
              <w:t xml:space="preserve"> OR is outside the scope of the assigned task</w:t>
            </w:r>
          </w:p>
          <w:p w:rsidR="0096015F" w:rsidRPr="00CE13E7" w:rsidRDefault="0096015F" w:rsidP="0096015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E13E7">
              <w:rPr>
                <w:rFonts w:ascii="Times New Roman" w:hAnsi="Times New Roman" w:cs="Times New Roman"/>
                <w:sz w:val="18"/>
                <w:szCs w:val="18"/>
              </w:rPr>
              <w:t>Students inaccurately identify physical processes responsible for observed air temperature patterns from temperature sensor data OR suggest unreasonable possibilities</w:t>
            </w:r>
          </w:p>
          <w:p w:rsidR="0096015F" w:rsidRPr="002169CA" w:rsidRDefault="0096015F" w:rsidP="00CD1CB6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:rsidR="0096015F" w:rsidRDefault="0096015F" w:rsidP="00CD1CB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13E7">
              <w:rPr>
                <w:rFonts w:ascii="Times New Roman" w:hAnsi="Times New Roman" w:cs="Times New Roman"/>
                <w:i/>
                <w:sz w:val="18"/>
                <w:szCs w:val="18"/>
              </w:rPr>
              <w:t>Asks testable questions that require sufficient and relevant evidence to answer and evaluates the testability of the questions.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922DB3">
              <w:rPr>
                <w:rFonts w:ascii="Times New Roman" w:hAnsi="Times New Roman" w:cs="Times New Roman"/>
                <w:i/>
                <w:sz w:val="18"/>
                <w:szCs w:val="18"/>
              </w:rPr>
              <w:t>Identifies the limitations of the data analysis (e.g., measurement error, sample selection) and identifies some implications for the findings.</w:t>
            </w:r>
          </w:p>
          <w:p w:rsidR="0096015F" w:rsidRPr="006C194A" w:rsidRDefault="0096015F" w:rsidP="009601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13E7">
              <w:rPr>
                <w:rFonts w:ascii="Times New Roman" w:hAnsi="Times New Roman" w:cs="Times New Roman"/>
                <w:sz w:val="18"/>
                <w:szCs w:val="18"/>
              </w:rPr>
              <w:t>Students ask a question that reasonably meets the assigned boundary conditions as discussed in the article text</w:t>
            </w:r>
          </w:p>
          <w:p w:rsidR="0096015F" w:rsidRPr="00CE13E7" w:rsidRDefault="0096015F" w:rsidP="0096015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E13E7">
              <w:rPr>
                <w:rFonts w:ascii="Times New Roman" w:hAnsi="Times New Roman" w:cs="Times New Roman"/>
                <w:sz w:val="18"/>
                <w:szCs w:val="18"/>
              </w:rPr>
              <w:t>Students accurately identify reasonable physical processes responsible for observed air temperature patterns from temperature sensor data</w:t>
            </w:r>
          </w:p>
          <w:p w:rsidR="0096015F" w:rsidRPr="002169CA" w:rsidRDefault="0096015F" w:rsidP="00CD1CB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6015F" w:rsidRPr="006C194A" w:rsidRDefault="0096015F" w:rsidP="00CD1C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15F" w:rsidRPr="00CE13E7" w:rsidRDefault="0096015F" w:rsidP="00CD1C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015F" w:rsidRPr="009B063A" w:rsidTr="00CD1CB6">
        <w:trPr>
          <w:trHeight w:val="1205"/>
        </w:trPr>
        <w:tc>
          <w:tcPr>
            <w:tcW w:w="0" w:type="auto"/>
          </w:tcPr>
          <w:p w:rsidR="0096015F" w:rsidRPr="00CE13E7" w:rsidRDefault="0096015F" w:rsidP="00CD1C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13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Disciplinary Core Ideas </w:t>
            </w:r>
          </w:p>
          <w:p w:rsidR="0096015F" w:rsidRPr="00CE13E7" w:rsidRDefault="0096015F" w:rsidP="00CD1CB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3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ESS2.D: Weather and Climate</w:t>
            </w:r>
          </w:p>
          <w:p w:rsidR="0096015F" w:rsidRPr="00CE13E7" w:rsidRDefault="0096015F" w:rsidP="00CD1CB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13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PS3.A:  Definitions of Energy (Temperature)</w:t>
            </w:r>
          </w:p>
          <w:p w:rsidR="0096015F" w:rsidRPr="00CE13E7" w:rsidRDefault="0096015F" w:rsidP="00CD1CB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CE13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PS3.B: Conservation of Energy and Energy Transfer</w:t>
            </w:r>
          </w:p>
          <w:p w:rsidR="0096015F" w:rsidRPr="00CE13E7" w:rsidRDefault="0096015F" w:rsidP="00CD1C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6015F" w:rsidRPr="00CE13E7" w:rsidRDefault="0096015F" w:rsidP="00CD1CB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13E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Identifies or otherwise applies relevant content with minor errors or omissions. </w:t>
            </w:r>
          </w:p>
          <w:p w:rsidR="0096015F" w:rsidRPr="002169CA" w:rsidRDefault="0096015F" w:rsidP="0096015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13E7">
              <w:rPr>
                <w:rFonts w:ascii="Times New Roman" w:hAnsi="Times New Roman" w:cs="Times New Roman"/>
                <w:sz w:val="18"/>
                <w:szCs w:val="18"/>
              </w:rPr>
              <w:t>Students inaccurately explain how environmental temperatures are measured OR are unable to fully explain the reasoning for making temperature observations</w:t>
            </w:r>
          </w:p>
          <w:p w:rsidR="0096015F" w:rsidRPr="00CE13E7" w:rsidRDefault="0096015F" w:rsidP="0096015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13E7">
              <w:rPr>
                <w:rFonts w:ascii="Times New Roman" w:hAnsi="Times New Roman" w:cs="Times New Roman"/>
                <w:sz w:val="18"/>
                <w:szCs w:val="18"/>
              </w:rPr>
              <w:t xml:space="preserve">Students inaccurately predict short-term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patterns</w:t>
            </w:r>
            <w:bookmarkStart w:id="0" w:name="_GoBack"/>
            <w:bookmarkEnd w:id="0"/>
            <w:r w:rsidRPr="00CE13E7">
              <w:rPr>
                <w:rFonts w:ascii="Times New Roman" w:hAnsi="Times New Roman" w:cs="Times New Roman"/>
                <w:sz w:val="18"/>
                <w:szCs w:val="18"/>
              </w:rPr>
              <w:t xml:space="preserve"> in air temperatures at small scales based on their experimental data sets</w:t>
            </w:r>
          </w:p>
          <w:p w:rsidR="0096015F" w:rsidRDefault="0096015F" w:rsidP="0096015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13E7">
              <w:rPr>
                <w:rFonts w:ascii="Times New Roman" w:hAnsi="Times New Roman" w:cs="Times New Roman"/>
                <w:sz w:val="18"/>
                <w:szCs w:val="18"/>
              </w:rPr>
              <w:t>Students are unable to make predictions based on their experimental data or make inferences about large-scale patterns</w:t>
            </w:r>
          </w:p>
          <w:p w:rsidR="0096015F" w:rsidRDefault="0096015F" w:rsidP="0096015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Students are unable to accurately explain the reasoning for using a Solar Radiation Shield for housing sensors to measure environmental temperatures.</w:t>
            </w:r>
          </w:p>
          <w:p w:rsidR="0096015F" w:rsidRPr="00A6202A" w:rsidRDefault="0096015F" w:rsidP="00CD1C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6015F" w:rsidRPr="00CE13E7" w:rsidRDefault="0096015F" w:rsidP="00CD1CB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13E7">
              <w:rPr>
                <w:rFonts w:ascii="Times New Roman" w:hAnsi="Times New Roman" w:cs="Times New Roman"/>
                <w:i/>
                <w:sz w:val="18"/>
                <w:szCs w:val="18"/>
              </w:rPr>
              <w:t>Explains or otherwise applies relevant and accurate content.</w:t>
            </w:r>
          </w:p>
          <w:p w:rsidR="0096015F" w:rsidRPr="00CE13E7" w:rsidRDefault="0096015F" w:rsidP="0096015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13E7">
              <w:rPr>
                <w:rFonts w:ascii="Times New Roman" w:hAnsi="Times New Roman" w:cs="Times New Roman"/>
                <w:sz w:val="18"/>
                <w:szCs w:val="18"/>
              </w:rPr>
              <w:t>Students accurately explain how environmental temperatures are measured and reasoning for making such observations</w:t>
            </w:r>
          </w:p>
          <w:p w:rsidR="0096015F" w:rsidRPr="00CE13E7" w:rsidRDefault="0096015F" w:rsidP="0096015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13E7">
              <w:rPr>
                <w:rFonts w:ascii="Times New Roman" w:hAnsi="Times New Roman" w:cs="Times New Roman"/>
                <w:sz w:val="18"/>
                <w:szCs w:val="18"/>
              </w:rPr>
              <w:t xml:space="preserve">Students accurately predict short-term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patterns</w:t>
            </w:r>
            <w:r w:rsidRPr="00CE13E7">
              <w:rPr>
                <w:rFonts w:ascii="Times New Roman" w:hAnsi="Times New Roman" w:cs="Times New Roman"/>
                <w:sz w:val="18"/>
                <w:szCs w:val="18"/>
              </w:rPr>
              <w:t xml:space="preserve"> in air temperatures at small scales based on their experimental data sets</w:t>
            </w:r>
          </w:p>
          <w:p w:rsidR="0096015F" w:rsidRDefault="0096015F" w:rsidP="0096015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13E7">
              <w:rPr>
                <w:rFonts w:ascii="Times New Roman" w:hAnsi="Times New Roman" w:cs="Times New Roman"/>
                <w:sz w:val="18"/>
                <w:szCs w:val="18"/>
              </w:rPr>
              <w:t>Students use their small-scale data to suggest difficulties in accurately predicting large-scale patterns</w:t>
            </w:r>
          </w:p>
          <w:p w:rsidR="0096015F" w:rsidRDefault="0096015F" w:rsidP="0096015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Students accurately construct and explain the reasoning for using a Solar Radiation Shield for housing sensors to measure environmental temperatures.</w:t>
            </w:r>
          </w:p>
          <w:p w:rsidR="0096015F" w:rsidRPr="009B0A60" w:rsidRDefault="0096015F" w:rsidP="00CD1C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15F" w:rsidRPr="009B063A" w:rsidTr="00CD1CB6">
        <w:tc>
          <w:tcPr>
            <w:tcW w:w="0" w:type="auto"/>
          </w:tcPr>
          <w:p w:rsidR="0096015F" w:rsidRPr="00CE13E7" w:rsidRDefault="0096015F" w:rsidP="00CD1C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E13E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Cross Cutting Concepts</w:t>
            </w:r>
          </w:p>
          <w:p w:rsidR="0096015F" w:rsidRPr="00CE13E7" w:rsidRDefault="0096015F" w:rsidP="00CD1C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3E7">
              <w:rPr>
                <w:rFonts w:ascii="Times New Roman" w:hAnsi="Times New Roman" w:cs="Times New Roman"/>
                <w:sz w:val="18"/>
                <w:szCs w:val="18"/>
              </w:rPr>
              <w:t>Patterns; Cause &amp; Effect; Scale, Proportion, and Quantity</w:t>
            </w:r>
          </w:p>
        </w:tc>
        <w:tc>
          <w:tcPr>
            <w:tcW w:w="0" w:type="auto"/>
          </w:tcPr>
          <w:p w:rsidR="0096015F" w:rsidRPr="00D566D0" w:rsidRDefault="0096015F" w:rsidP="00CD1CB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0A66">
              <w:rPr>
                <w:rFonts w:ascii="Times New Roman" w:hAnsi="Times New Roman" w:cs="Times New Roman"/>
                <w:i/>
                <w:sz w:val="18"/>
                <w:szCs w:val="18"/>
              </w:rPr>
              <w:t>Identifies or makes connection(s) to relevant cross cutting concept(s) with minor errors or omissions.</w:t>
            </w:r>
          </w:p>
          <w:p w:rsidR="0096015F" w:rsidRDefault="0096015F" w:rsidP="0096015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CE13E7">
              <w:rPr>
                <w:rFonts w:ascii="Times New Roman" w:hAnsi="Times New Roman" w:cs="Times New Roman"/>
                <w:sz w:val="18"/>
                <w:szCs w:val="18"/>
              </w:rPr>
              <w:t xml:space="preserve">tudents inaccurately use observed measurements to demonstrate complexity of air temperature patterns </w:t>
            </w:r>
          </w:p>
          <w:p w:rsidR="0096015F" w:rsidRPr="00CE13E7" w:rsidRDefault="0096015F" w:rsidP="0096015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13E7">
              <w:rPr>
                <w:rFonts w:ascii="Times New Roman" w:hAnsi="Times New Roman" w:cs="Times New Roman"/>
                <w:sz w:val="18"/>
                <w:szCs w:val="18"/>
              </w:rPr>
              <w:t>Student presentations inaccurately demonstrate a comparison of expected versus actual results in observed data and suggest unreasonable future research approaches</w:t>
            </w:r>
          </w:p>
        </w:tc>
        <w:tc>
          <w:tcPr>
            <w:tcW w:w="0" w:type="auto"/>
          </w:tcPr>
          <w:p w:rsidR="0096015F" w:rsidRPr="00D566D0" w:rsidRDefault="0096015F" w:rsidP="00CD1CB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90A66">
              <w:rPr>
                <w:rFonts w:ascii="Times New Roman" w:hAnsi="Times New Roman" w:cs="Times New Roman"/>
                <w:i/>
                <w:sz w:val="18"/>
                <w:szCs w:val="18"/>
              </w:rPr>
              <w:t>Explains OR makes accurate connections to relevant cross cutting concept(s)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96015F" w:rsidRPr="00CE13E7" w:rsidRDefault="0096015F" w:rsidP="009601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E13E7">
              <w:rPr>
                <w:rFonts w:ascii="Times New Roman" w:hAnsi="Times New Roman" w:cs="Times New Roman"/>
                <w:sz w:val="18"/>
                <w:szCs w:val="18"/>
              </w:rPr>
              <w:t>Students use observed measurements (data) to accurately demonstrate the complexity of air temperature patterns at small scales</w:t>
            </w:r>
          </w:p>
          <w:p w:rsidR="0096015F" w:rsidRPr="00D566D0" w:rsidRDefault="0096015F" w:rsidP="0096015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66D0">
              <w:rPr>
                <w:rFonts w:ascii="Times New Roman" w:hAnsi="Times New Roman" w:cs="Times New Roman"/>
                <w:sz w:val="18"/>
                <w:szCs w:val="18"/>
              </w:rPr>
              <w:t>Student presentations accurately demonstrate a comparison of expected versus actual results in observed data and consider reasonable future research approaches</w:t>
            </w:r>
          </w:p>
        </w:tc>
      </w:tr>
    </w:tbl>
    <w:p w:rsidR="0096015F" w:rsidRDefault="0096015F" w:rsidP="0096015F">
      <w:pPr>
        <w:tabs>
          <w:tab w:val="left" w:pos="5460"/>
        </w:tabs>
        <w:spacing w:after="0"/>
        <w:rPr>
          <w:b/>
        </w:rPr>
      </w:pPr>
      <w:r>
        <w:rPr>
          <w:b/>
        </w:rPr>
        <w:tab/>
      </w:r>
    </w:p>
    <w:p w:rsidR="0096015F" w:rsidRDefault="0096015F" w:rsidP="0096015F">
      <w:pPr>
        <w:tabs>
          <w:tab w:val="left" w:pos="5460"/>
        </w:tabs>
        <w:spacing w:after="0"/>
        <w:rPr>
          <w:b/>
        </w:rPr>
      </w:pPr>
    </w:p>
    <w:p w:rsidR="0096015F" w:rsidRDefault="0096015F" w:rsidP="0096015F"/>
    <w:p w:rsidR="00EE3829" w:rsidRDefault="00EE3829"/>
    <w:sectPr w:rsidR="00EE3829" w:rsidSect="00DA4E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32C"/>
    <w:multiLevelType w:val="hybridMultilevel"/>
    <w:tmpl w:val="D8DAB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227F7"/>
    <w:multiLevelType w:val="hybridMultilevel"/>
    <w:tmpl w:val="B24E0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3F1B"/>
    <w:multiLevelType w:val="hybridMultilevel"/>
    <w:tmpl w:val="80BAEE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3A383C"/>
    <w:multiLevelType w:val="hybridMultilevel"/>
    <w:tmpl w:val="2612D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5D76FE"/>
    <w:multiLevelType w:val="hybridMultilevel"/>
    <w:tmpl w:val="63D6A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212C0"/>
    <w:multiLevelType w:val="hybridMultilevel"/>
    <w:tmpl w:val="07768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174F8"/>
    <w:multiLevelType w:val="hybridMultilevel"/>
    <w:tmpl w:val="2BEA0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50594E"/>
    <w:multiLevelType w:val="hybridMultilevel"/>
    <w:tmpl w:val="E6A01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FC231F"/>
    <w:multiLevelType w:val="hybridMultilevel"/>
    <w:tmpl w:val="4540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15F"/>
    <w:rsid w:val="000A3857"/>
    <w:rsid w:val="00666413"/>
    <w:rsid w:val="0075142B"/>
    <w:rsid w:val="00860C9F"/>
    <w:rsid w:val="0096015F"/>
    <w:rsid w:val="00E845B0"/>
    <w:rsid w:val="00EE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</w:pPr>
    <w:rPr>
      <w:rFonts w:asciiTheme="minorHAnsi" w:eastAsiaTheme="minorEastAsia" w:hAnsiTheme="minorHAnsi" w:cstheme="minorBidi"/>
      <w:color w:val="auto"/>
      <w:szCs w:val="20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96015F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15F"/>
    <w:rPr>
      <w:rFonts w:ascii="Times New Roman" w:eastAsiaTheme="minorHAnsi" w:hAnsi="Times New Roman" w:cs="Times New Roman"/>
      <w:b/>
      <w:bCs/>
      <w:color w:val="auto"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6015F"/>
    <w:pPr>
      <w:ind w:left="720"/>
      <w:contextualSpacing/>
    </w:pPr>
  </w:style>
  <w:style w:type="table" w:styleId="TableGrid">
    <w:name w:val="Table Grid"/>
    <w:basedOn w:val="TableNormal"/>
    <w:uiPriority w:val="39"/>
    <w:rsid w:val="009601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6015F"/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1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5F"/>
    <w:rPr>
      <w:rFonts w:ascii="Tahoma" w:eastAsiaTheme="minorEastAsia" w:hAnsi="Tahoma" w:cs="Tahoma"/>
      <w:color w:val="auto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3900</Characters>
  <Application>Microsoft Office Word</Application>
  <DocSecurity>0</DocSecurity>
  <Lines>32</Lines>
  <Paragraphs>9</Paragraphs>
  <ScaleCrop>false</ScaleCrop>
  <Company>Hewlett-Packard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PavilionFast</dc:creator>
  <cp:lastModifiedBy>PavilionFast</cp:lastModifiedBy>
  <cp:revision>2</cp:revision>
  <dcterms:created xsi:type="dcterms:W3CDTF">2018-05-11T02:59:00Z</dcterms:created>
  <dcterms:modified xsi:type="dcterms:W3CDTF">2018-07-23T15:41:00Z</dcterms:modified>
</cp:coreProperties>
</file>