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A4" w:rsidRDefault="003774A4" w:rsidP="006264EF">
      <w:pPr>
        <w:rPr>
          <w:b/>
          <w:bCs/>
          <w:color w:val="000000" w:themeColor="text1"/>
        </w:rPr>
      </w:pPr>
      <w:r>
        <w:rPr>
          <w:b/>
          <w:bCs/>
          <w:color w:val="000000" w:themeColor="text1"/>
        </w:rPr>
        <w:t>Name: ____________________</w:t>
      </w:r>
    </w:p>
    <w:p w:rsidR="003774A4" w:rsidRDefault="003774A4" w:rsidP="006264EF">
      <w:pPr>
        <w:rPr>
          <w:b/>
          <w:bCs/>
          <w:color w:val="000000" w:themeColor="text1"/>
        </w:rPr>
      </w:pPr>
    </w:p>
    <w:p w:rsidR="006264EF" w:rsidRPr="006C0470" w:rsidRDefault="006264EF" w:rsidP="006264EF">
      <w:pPr>
        <w:rPr>
          <w:b/>
          <w:bCs/>
          <w:color w:val="000000" w:themeColor="text1"/>
        </w:rPr>
      </w:pPr>
      <w:r w:rsidRPr="006C0470">
        <w:rPr>
          <w:b/>
          <w:bCs/>
          <w:color w:val="000000" w:themeColor="text1"/>
        </w:rPr>
        <w:t>Part II – Online Databases, Alignments and Mutation Rates</w:t>
      </w:r>
    </w:p>
    <w:p w:rsidR="006264EF" w:rsidRPr="006C0470" w:rsidRDefault="006264EF" w:rsidP="006264EF">
      <w:pPr>
        <w:rPr>
          <w:b/>
          <w:bCs/>
          <w:color w:val="000000" w:themeColor="text1"/>
        </w:rPr>
      </w:pPr>
      <w:r>
        <w:rPr>
          <w:b/>
          <w:bCs/>
          <w:color w:val="000000" w:themeColor="text1"/>
        </w:rPr>
        <w:t xml:space="preserve">Section </w:t>
      </w:r>
      <w:proofErr w:type="gramStart"/>
      <w:r w:rsidRPr="006C0470">
        <w:rPr>
          <w:b/>
          <w:bCs/>
          <w:color w:val="000000" w:themeColor="text1"/>
        </w:rPr>
        <w:t>A</w:t>
      </w:r>
      <w:proofErr w:type="gramEnd"/>
      <w:r w:rsidRPr="006C0470">
        <w:rPr>
          <w:b/>
          <w:bCs/>
          <w:color w:val="000000" w:themeColor="text1"/>
        </w:rPr>
        <w:t xml:space="preserve"> – Primer/Probe Sequences from the Original </w:t>
      </w:r>
      <w:proofErr w:type="spellStart"/>
      <w:r w:rsidRPr="006C0470">
        <w:rPr>
          <w:b/>
          <w:bCs/>
          <w:color w:val="000000" w:themeColor="text1"/>
        </w:rPr>
        <w:t>TaqMan</w:t>
      </w:r>
      <w:proofErr w:type="spellEnd"/>
      <w:r w:rsidRPr="006C0470">
        <w:rPr>
          <w:b/>
          <w:bCs/>
          <w:color w:val="000000" w:themeColor="text1"/>
        </w:rPr>
        <w:t xml:space="preserve"> Assay</w:t>
      </w:r>
    </w:p>
    <w:p w:rsidR="003774A4" w:rsidRDefault="003774A4" w:rsidP="006264EF"/>
    <w:p w:rsidR="006264EF" w:rsidRPr="001518E1" w:rsidRDefault="006264EF" w:rsidP="006264EF">
      <w:r w:rsidRPr="001518E1">
        <w:t xml:space="preserve">Step 3: </w:t>
      </w:r>
      <w:r w:rsidRPr="00F57B66">
        <w:rPr>
          <w:color w:val="000000" w:themeColor="text1"/>
        </w:rPr>
        <w:t>Copy this sequence, and paste into your answer sheet. For each one, make a header line starting with a &gt; followed by the name of the region (i.e. N1). Identify the probe sequence in bold (you can just compare by eye to identify the probe sequence)</w:t>
      </w:r>
    </w:p>
    <w:p w:rsidR="006264EF" w:rsidRDefault="006264EF" w:rsidP="006264EF"/>
    <w:p w:rsidR="006264EF" w:rsidRDefault="006264EF" w:rsidP="006264EF"/>
    <w:p w:rsidR="006264EF" w:rsidRDefault="006264EF" w:rsidP="006264EF"/>
    <w:p w:rsidR="006264EF" w:rsidRDefault="006264EF" w:rsidP="006264EF"/>
    <w:p w:rsidR="006264EF" w:rsidRDefault="006264EF" w:rsidP="006264EF"/>
    <w:p w:rsidR="006264EF" w:rsidRPr="001518E1" w:rsidRDefault="006264EF" w:rsidP="006264EF"/>
    <w:p w:rsidR="006264EF" w:rsidRPr="00F57B66" w:rsidRDefault="006264EF" w:rsidP="006264EF">
      <w:r w:rsidRPr="001518E1">
        <w:t>Step 5:</w:t>
      </w:r>
      <w:r>
        <w:t xml:space="preserve"> </w:t>
      </w:r>
      <w:r w:rsidRPr="00F57B66">
        <w:rPr>
          <w:color w:val="000000" w:themeColor="text1"/>
        </w:rPr>
        <w:t>Are these matches near the beginning or end of the virus?</w:t>
      </w:r>
    </w:p>
    <w:p w:rsidR="006264EF" w:rsidRPr="001518E1" w:rsidRDefault="006264EF" w:rsidP="006264EF"/>
    <w:p w:rsidR="006264EF" w:rsidRDefault="006264EF" w:rsidP="006264EF">
      <w:r w:rsidRPr="001518E1">
        <w:t xml:space="preserve">Step 7: </w:t>
      </w:r>
      <w:r w:rsidRPr="00131FB3">
        <w:rPr>
          <w:color w:val="000000" w:themeColor="text1"/>
        </w:rPr>
        <w:t>What is the name and function of this gene?</w:t>
      </w:r>
    </w:p>
    <w:p w:rsidR="006264EF" w:rsidRDefault="006264EF" w:rsidP="006264EF"/>
    <w:p w:rsidR="006264EF" w:rsidRPr="001518E1" w:rsidRDefault="006264EF" w:rsidP="006264EF">
      <w:pPr>
        <w:rPr>
          <w:b/>
          <w:bCs/>
        </w:rPr>
      </w:pPr>
      <w:r>
        <w:rPr>
          <w:b/>
          <w:bCs/>
        </w:rPr>
        <w:t>Section B</w:t>
      </w:r>
      <w:r w:rsidRPr="001518E1">
        <w:rPr>
          <w:b/>
          <w:bCs/>
        </w:rPr>
        <w:t xml:space="preserve"> – Comparing the Viruses that Cause SARS and COVID-19</w:t>
      </w:r>
    </w:p>
    <w:p w:rsidR="006264EF" w:rsidRPr="001518E1" w:rsidRDefault="006264EF" w:rsidP="006264EF"/>
    <w:p w:rsidR="006264EF" w:rsidRPr="00A77289" w:rsidRDefault="006264EF" w:rsidP="006264EF">
      <w:r w:rsidRPr="00A77289">
        <w:t>Step 7</w:t>
      </w:r>
      <w:r>
        <w:t>:</w:t>
      </w:r>
      <w:r w:rsidRPr="00A77289">
        <w:t xml:space="preserve"> What are two regions that would be good targets for a test that would detect ONLY SARS-CoV-2, but not SARS-</w:t>
      </w:r>
      <w:proofErr w:type="spellStart"/>
      <w:r w:rsidRPr="00A77289">
        <w:t>CoV</w:t>
      </w:r>
      <w:proofErr w:type="spellEnd"/>
      <w:r w:rsidRPr="00A77289">
        <w:t>?</w:t>
      </w:r>
    </w:p>
    <w:p w:rsidR="006264EF" w:rsidRPr="001518E1" w:rsidRDefault="006264EF" w:rsidP="006264EF"/>
    <w:p w:rsidR="006264EF" w:rsidRDefault="006264EF" w:rsidP="006264EF">
      <w:r w:rsidRPr="00A77289">
        <w:t>What are two regions that would be good targets for a test that would detect BOTH SARS-</w:t>
      </w:r>
      <w:proofErr w:type="spellStart"/>
      <w:r w:rsidRPr="00A77289">
        <w:t>CoV</w:t>
      </w:r>
      <w:proofErr w:type="spellEnd"/>
      <w:r w:rsidRPr="00A77289">
        <w:t xml:space="preserve"> and SARS-CoV-2 (provide screenshots). </w:t>
      </w:r>
    </w:p>
    <w:p w:rsidR="006264EF" w:rsidRPr="00A77289" w:rsidRDefault="006264EF" w:rsidP="006264EF"/>
    <w:p w:rsidR="006264EF" w:rsidRPr="001518E1" w:rsidRDefault="006264EF" w:rsidP="006264EF">
      <w:pPr>
        <w:rPr>
          <w:b/>
          <w:bCs/>
        </w:rPr>
      </w:pPr>
      <w:r>
        <w:rPr>
          <w:b/>
          <w:bCs/>
        </w:rPr>
        <w:t xml:space="preserve">Section </w:t>
      </w:r>
      <w:r w:rsidRPr="001518E1">
        <w:rPr>
          <w:b/>
          <w:bCs/>
        </w:rPr>
        <w:t xml:space="preserve">C – Mutation of SARS-CoV-2 </w:t>
      </w:r>
      <w:proofErr w:type="gramStart"/>
      <w:r w:rsidRPr="001518E1">
        <w:rPr>
          <w:b/>
          <w:bCs/>
        </w:rPr>
        <w:t>Over</w:t>
      </w:r>
      <w:proofErr w:type="gramEnd"/>
      <w:r w:rsidRPr="001518E1">
        <w:rPr>
          <w:b/>
          <w:bCs/>
        </w:rPr>
        <w:t xml:space="preserve"> Time</w:t>
      </w:r>
    </w:p>
    <w:p w:rsidR="006264EF" w:rsidRPr="001518E1" w:rsidRDefault="006264EF" w:rsidP="006264EF">
      <w:pPr>
        <w:rPr>
          <w:color w:val="000000" w:themeColor="text1"/>
        </w:rPr>
      </w:pPr>
    </w:p>
    <w:p w:rsidR="006264EF" w:rsidRPr="001518E1" w:rsidRDefault="006264EF" w:rsidP="006264EF">
      <w:r w:rsidRPr="001518E1">
        <w:t>Why are transmission events not the same as cell infections? Which number is expected to be higher, transmission events or cell infections? Will this lead to an over-or underestimation of mutation rate in our calculations?</w:t>
      </w:r>
    </w:p>
    <w:p w:rsidR="006264EF" w:rsidRDefault="006264EF" w:rsidP="006264EF">
      <w:pPr>
        <w:rPr>
          <w:i/>
          <w:iCs/>
          <w:color w:val="000000" w:themeColor="text1"/>
        </w:rPr>
      </w:pPr>
    </w:p>
    <w:p w:rsidR="006264EF" w:rsidRPr="00A60BBE" w:rsidRDefault="006264EF" w:rsidP="006264EF">
      <w:pPr>
        <w:rPr>
          <w:color w:val="000000" w:themeColor="text1"/>
        </w:rPr>
      </w:pPr>
      <w:proofErr w:type="gramStart"/>
      <w:r>
        <w:rPr>
          <w:color w:val="000000" w:themeColor="text1"/>
        </w:rPr>
        <w:t>Steps 2-5.</w:t>
      </w:r>
      <w:proofErr w:type="gramEnd"/>
      <w:r>
        <w:rPr>
          <w:color w:val="000000" w:themeColor="text1"/>
        </w:rPr>
        <w:t xml:space="preserve"> Complete the table. </w:t>
      </w:r>
    </w:p>
    <w:p w:rsidR="006264EF" w:rsidRPr="001518E1" w:rsidRDefault="006264EF" w:rsidP="006264EF">
      <w:pPr>
        <w:rPr>
          <w:i/>
          <w:iCs/>
          <w:color w:val="000000" w:themeColor="text1"/>
        </w:rPr>
      </w:pPr>
    </w:p>
    <w:tbl>
      <w:tblPr>
        <w:tblW w:w="9780" w:type="dxa"/>
        <w:tblLook w:val="04A0" w:firstRow="1" w:lastRow="0" w:firstColumn="1" w:lastColumn="0" w:noHBand="0" w:noVBand="1"/>
      </w:tblPr>
      <w:tblGrid>
        <w:gridCol w:w="1520"/>
        <w:gridCol w:w="1216"/>
        <w:gridCol w:w="1040"/>
        <w:gridCol w:w="1060"/>
        <w:gridCol w:w="1300"/>
        <w:gridCol w:w="1160"/>
        <w:gridCol w:w="1603"/>
        <w:gridCol w:w="1120"/>
      </w:tblGrid>
      <w:tr w:rsidR="006264EF" w:rsidRPr="006C0470" w:rsidTr="00F00265">
        <w:trPr>
          <w:trHeight w:val="136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4EF" w:rsidRPr="006C0470" w:rsidRDefault="006264EF" w:rsidP="00F00265">
            <w:pPr>
              <w:jc w:val="center"/>
              <w:rPr>
                <w:color w:val="000000" w:themeColor="text1"/>
              </w:rPr>
            </w:pPr>
            <w:r w:rsidRPr="006C0470">
              <w:rPr>
                <w:color w:val="000000" w:themeColor="text1"/>
              </w:rPr>
              <w:t>Accession Number</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264EF" w:rsidRPr="006C0470" w:rsidRDefault="006264EF" w:rsidP="00F00265">
            <w:pPr>
              <w:jc w:val="center"/>
              <w:rPr>
                <w:color w:val="000000" w:themeColor="text1"/>
              </w:rPr>
            </w:pPr>
            <w:r w:rsidRPr="006C0470">
              <w:rPr>
                <w:color w:val="000000" w:themeColor="text1"/>
              </w:rPr>
              <w:t>Collection Date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264EF" w:rsidRPr="006C0470" w:rsidRDefault="006264EF" w:rsidP="00F00265">
            <w:pPr>
              <w:jc w:val="center"/>
              <w:rPr>
                <w:color w:val="000000" w:themeColor="text1"/>
              </w:rPr>
            </w:pPr>
            <w:r w:rsidRPr="006C0470">
              <w:rPr>
                <w:color w:val="000000" w:themeColor="text1"/>
              </w:rPr>
              <w:t>Country</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6264EF" w:rsidRPr="006C0470" w:rsidRDefault="006264EF" w:rsidP="00F00265">
            <w:pPr>
              <w:jc w:val="center"/>
              <w:rPr>
                <w:color w:val="000000" w:themeColor="text1"/>
              </w:rPr>
            </w:pPr>
            <w:r w:rsidRPr="006C0470">
              <w:rPr>
                <w:color w:val="000000" w:themeColor="text1"/>
              </w:rPr>
              <w:t>Genome Size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264EF" w:rsidRPr="006C0470" w:rsidRDefault="006264EF" w:rsidP="00F00265">
            <w:pPr>
              <w:jc w:val="center"/>
              <w:rPr>
                <w:color w:val="000000" w:themeColor="text1"/>
              </w:rPr>
            </w:pPr>
            <w:r w:rsidRPr="006C0470">
              <w:rPr>
                <w:color w:val="000000" w:themeColor="text1"/>
              </w:rPr>
              <w:t xml:space="preserve"># of Mutations compared to </w:t>
            </w:r>
            <w:proofErr w:type="spellStart"/>
            <w:r w:rsidRPr="006C0470">
              <w:rPr>
                <w:color w:val="000000" w:themeColor="text1"/>
              </w:rPr>
              <w:t>RefSeq</w:t>
            </w:r>
            <w:proofErr w:type="spellEnd"/>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6264EF" w:rsidRPr="006C0470" w:rsidRDefault="006264EF" w:rsidP="00F00265">
            <w:pPr>
              <w:jc w:val="center"/>
              <w:rPr>
                <w:color w:val="000000" w:themeColor="text1"/>
              </w:rPr>
            </w:pPr>
            <w:r w:rsidRPr="006C0470">
              <w:rPr>
                <w:color w:val="000000" w:themeColor="text1"/>
              </w:rPr>
              <w:t xml:space="preserve">Days from </w:t>
            </w:r>
            <w:proofErr w:type="spellStart"/>
            <w:r w:rsidRPr="006C0470">
              <w:rPr>
                <w:color w:val="000000" w:themeColor="text1"/>
              </w:rPr>
              <w:t>RefSeq</w:t>
            </w:r>
            <w:proofErr w:type="spellEnd"/>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264EF" w:rsidRPr="006C0470" w:rsidRDefault="006264EF" w:rsidP="00F00265">
            <w:pPr>
              <w:jc w:val="center"/>
              <w:rPr>
                <w:color w:val="000000" w:themeColor="text1"/>
              </w:rPr>
            </w:pPr>
            <w:r w:rsidRPr="006C0470">
              <w:rPr>
                <w:color w:val="000000" w:themeColor="text1"/>
              </w:rPr>
              <w:t xml:space="preserve"># of Transmissions since </w:t>
            </w:r>
            <w:proofErr w:type="spellStart"/>
            <w:r w:rsidRPr="006C0470">
              <w:rPr>
                <w:color w:val="000000" w:themeColor="text1"/>
              </w:rPr>
              <w:t>RefSeq</w:t>
            </w:r>
            <w:proofErr w:type="spellEnd"/>
            <w:r w:rsidRPr="006C0470">
              <w:rPr>
                <w:color w:val="000000" w:themeColor="text1"/>
              </w:rPr>
              <w:t xml:space="preserve">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264EF" w:rsidRPr="006C0470" w:rsidRDefault="006264EF" w:rsidP="00F00265">
            <w:pPr>
              <w:jc w:val="center"/>
              <w:rPr>
                <w:color w:val="000000" w:themeColor="text1"/>
              </w:rPr>
            </w:pPr>
            <w:r w:rsidRPr="006C0470">
              <w:rPr>
                <w:color w:val="000000" w:themeColor="text1"/>
              </w:rPr>
              <w:t>s/n/c</w:t>
            </w:r>
          </w:p>
        </w:tc>
      </w:tr>
      <w:tr w:rsidR="006264EF" w:rsidRPr="006C0470" w:rsidTr="00F00265">
        <w:trPr>
          <w:trHeight w:val="62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6264EF" w:rsidRPr="006C0470" w:rsidRDefault="00246D31" w:rsidP="00F00265">
            <w:pPr>
              <w:jc w:val="center"/>
              <w:rPr>
                <w:color w:val="000000" w:themeColor="text1"/>
                <w:u w:val="single"/>
              </w:rPr>
            </w:pPr>
            <w:hyperlink r:id="rId7" w:tgtFrame="_blank" w:tooltip="Go to GenBank record" w:history="1">
              <w:r w:rsidR="006264EF" w:rsidRPr="006C0470">
                <w:rPr>
                  <w:color w:val="000000" w:themeColor="text1"/>
                  <w:u w:val="single"/>
                </w:rPr>
                <w:t>NC_045512</w:t>
              </w:r>
            </w:hyperlink>
          </w:p>
        </w:tc>
        <w:tc>
          <w:tcPr>
            <w:tcW w:w="108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1</w:t>
            </w:r>
            <w:r w:rsidR="00246D31">
              <w:rPr>
                <w:color w:val="000000" w:themeColor="text1"/>
              </w:rPr>
              <w:t>2</w:t>
            </w:r>
            <w:bookmarkStart w:id="0" w:name="_GoBack"/>
            <w:bookmarkEnd w:id="0"/>
            <w:r w:rsidRPr="006C0470">
              <w:rPr>
                <w:color w:val="000000" w:themeColor="text1"/>
              </w:rPr>
              <w:t>/23/19</w:t>
            </w:r>
          </w:p>
        </w:tc>
        <w:tc>
          <w:tcPr>
            <w:tcW w:w="104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China</w:t>
            </w:r>
          </w:p>
        </w:tc>
        <w:tc>
          <w:tcPr>
            <w:tcW w:w="10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2990</w:t>
            </w:r>
            <w:r>
              <w:rPr>
                <w:color w:val="000000" w:themeColor="text1"/>
              </w:rPr>
              <w:t>3</w:t>
            </w:r>
          </w:p>
        </w:tc>
        <w:tc>
          <w:tcPr>
            <w:tcW w:w="13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NA</w:t>
            </w:r>
          </w:p>
        </w:tc>
        <w:tc>
          <w:tcPr>
            <w:tcW w:w="11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NA</w:t>
            </w:r>
          </w:p>
        </w:tc>
        <w:tc>
          <w:tcPr>
            <w:tcW w:w="15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NA</w:t>
            </w:r>
          </w:p>
        </w:tc>
        <w:tc>
          <w:tcPr>
            <w:tcW w:w="112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NA</w:t>
            </w:r>
          </w:p>
        </w:tc>
      </w:tr>
      <w:tr w:rsidR="006264EF" w:rsidRPr="006C0470" w:rsidTr="00F00265">
        <w:trPr>
          <w:trHeight w:val="62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6264EF" w:rsidRPr="006C0470" w:rsidRDefault="00246D31" w:rsidP="00F00265">
            <w:pPr>
              <w:jc w:val="center"/>
              <w:rPr>
                <w:color w:val="000000" w:themeColor="text1"/>
                <w:u w:val="single"/>
              </w:rPr>
            </w:pPr>
            <w:hyperlink r:id="rId8" w:tgtFrame="_blank" w:tooltip="Go to GenBank record" w:history="1">
              <w:r w:rsidR="006264EF" w:rsidRPr="006C0470">
                <w:rPr>
                  <w:color w:val="000000" w:themeColor="text1"/>
                  <w:u w:val="single"/>
                </w:rPr>
                <w:t>MT093631</w:t>
              </w:r>
            </w:hyperlink>
          </w:p>
        </w:tc>
        <w:tc>
          <w:tcPr>
            <w:tcW w:w="108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04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0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3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1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5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12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r>
      <w:tr w:rsidR="006264EF" w:rsidRPr="006C0470" w:rsidTr="00F00265">
        <w:trPr>
          <w:trHeight w:val="62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6264EF" w:rsidRPr="006C0470" w:rsidRDefault="00246D31" w:rsidP="00F00265">
            <w:pPr>
              <w:jc w:val="center"/>
              <w:rPr>
                <w:color w:val="000000" w:themeColor="text1"/>
                <w:u w:val="single"/>
              </w:rPr>
            </w:pPr>
            <w:hyperlink r:id="rId9" w:tgtFrame="_blank" w:history="1">
              <w:r w:rsidR="006264EF" w:rsidRPr="006C0470">
                <w:rPr>
                  <w:color w:val="000000" w:themeColor="text1"/>
                  <w:u w:val="single"/>
                </w:rPr>
                <w:t>MN997409</w:t>
              </w:r>
            </w:hyperlink>
          </w:p>
        </w:tc>
        <w:tc>
          <w:tcPr>
            <w:tcW w:w="108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04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0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3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1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5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12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r>
      <w:tr w:rsidR="006264EF" w:rsidRPr="006C0470" w:rsidTr="00F00265">
        <w:trPr>
          <w:trHeight w:val="62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6264EF" w:rsidRPr="006C0470" w:rsidRDefault="00246D31" w:rsidP="00F00265">
            <w:pPr>
              <w:jc w:val="center"/>
              <w:rPr>
                <w:color w:val="000000" w:themeColor="text1"/>
                <w:u w:val="single"/>
              </w:rPr>
            </w:pPr>
            <w:hyperlink r:id="rId10" w:tgtFrame="_blank" w:history="1">
              <w:r w:rsidR="006264EF" w:rsidRPr="006C0470">
                <w:rPr>
                  <w:color w:val="000000" w:themeColor="text1"/>
                  <w:u w:val="single"/>
                </w:rPr>
                <w:t>MT093571.1</w:t>
              </w:r>
            </w:hyperlink>
          </w:p>
        </w:tc>
        <w:tc>
          <w:tcPr>
            <w:tcW w:w="108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04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0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3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1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5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12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r>
      <w:tr w:rsidR="006264EF" w:rsidRPr="006C0470" w:rsidTr="00F00265">
        <w:trPr>
          <w:trHeight w:val="62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6264EF" w:rsidRPr="006C0470" w:rsidRDefault="00246D31" w:rsidP="00F00265">
            <w:pPr>
              <w:jc w:val="center"/>
              <w:rPr>
                <w:color w:val="000000" w:themeColor="text1"/>
                <w:u w:val="single"/>
              </w:rPr>
            </w:pPr>
            <w:hyperlink r:id="rId11" w:tgtFrame="_blank" w:tooltip="Go to GenBank record" w:history="1">
              <w:r w:rsidR="006264EF" w:rsidRPr="006C0470">
                <w:rPr>
                  <w:color w:val="000000" w:themeColor="text1"/>
                  <w:u w:val="single"/>
                </w:rPr>
                <w:t>MT152824</w:t>
              </w:r>
            </w:hyperlink>
          </w:p>
        </w:tc>
        <w:tc>
          <w:tcPr>
            <w:tcW w:w="108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04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0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3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1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5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12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r>
      <w:tr w:rsidR="006264EF" w:rsidRPr="006C0470" w:rsidTr="00F00265">
        <w:trPr>
          <w:trHeight w:val="62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6264EF" w:rsidRPr="006C0470" w:rsidRDefault="00246D31" w:rsidP="00F00265">
            <w:pPr>
              <w:jc w:val="center"/>
              <w:rPr>
                <w:color w:val="000000" w:themeColor="text1"/>
                <w:u w:val="single"/>
              </w:rPr>
            </w:pPr>
            <w:hyperlink r:id="rId12" w:tgtFrame="_blank" w:tooltip="Go to GenBank record" w:history="1">
              <w:r w:rsidR="006264EF" w:rsidRPr="006C0470">
                <w:rPr>
                  <w:color w:val="000000" w:themeColor="text1"/>
                  <w:u w:val="single"/>
                </w:rPr>
                <w:t>MT263074</w:t>
              </w:r>
            </w:hyperlink>
          </w:p>
        </w:tc>
        <w:tc>
          <w:tcPr>
            <w:tcW w:w="108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04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0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3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1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5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12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r>
      <w:tr w:rsidR="006264EF" w:rsidRPr="006C0470" w:rsidTr="00F00265">
        <w:trPr>
          <w:trHeight w:val="62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6264EF" w:rsidRPr="006C0470" w:rsidRDefault="00246D31" w:rsidP="00F00265">
            <w:pPr>
              <w:jc w:val="center"/>
              <w:rPr>
                <w:color w:val="000000" w:themeColor="text1"/>
                <w:u w:val="single"/>
              </w:rPr>
            </w:pPr>
            <w:hyperlink r:id="rId13" w:tgtFrame="_blank" w:tooltip="Go to GenBank record" w:history="1">
              <w:r w:rsidR="006264EF" w:rsidRPr="006C0470">
                <w:rPr>
                  <w:color w:val="000000" w:themeColor="text1"/>
                  <w:u w:val="single"/>
                </w:rPr>
                <w:t>MT263430</w:t>
              </w:r>
            </w:hyperlink>
          </w:p>
        </w:tc>
        <w:tc>
          <w:tcPr>
            <w:tcW w:w="108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04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0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3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1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5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12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r>
      <w:tr w:rsidR="006264EF" w:rsidRPr="006C0470" w:rsidTr="00F00265">
        <w:trPr>
          <w:trHeight w:val="62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Average</w:t>
            </w:r>
          </w:p>
        </w:tc>
        <w:tc>
          <w:tcPr>
            <w:tcW w:w="108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04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0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3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1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5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12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r>
      <w:tr w:rsidR="006264EF" w:rsidRPr="006C0470" w:rsidTr="00F00265">
        <w:trPr>
          <w:trHeight w:val="62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Std. Dev.</w:t>
            </w:r>
          </w:p>
        </w:tc>
        <w:tc>
          <w:tcPr>
            <w:tcW w:w="108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04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0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3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16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50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c>
          <w:tcPr>
            <w:tcW w:w="1120" w:type="dxa"/>
            <w:tcBorders>
              <w:top w:val="nil"/>
              <w:left w:val="nil"/>
              <w:bottom w:val="single" w:sz="4" w:space="0" w:color="auto"/>
              <w:right w:val="single" w:sz="4" w:space="0" w:color="auto"/>
            </w:tcBorders>
            <w:shd w:val="clear" w:color="auto" w:fill="auto"/>
            <w:noWrap/>
            <w:vAlign w:val="center"/>
            <w:hideMark/>
          </w:tcPr>
          <w:p w:rsidR="006264EF" w:rsidRPr="006C0470" w:rsidRDefault="006264EF" w:rsidP="00F00265">
            <w:pPr>
              <w:jc w:val="center"/>
              <w:rPr>
                <w:color w:val="000000" w:themeColor="text1"/>
              </w:rPr>
            </w:pPr>
            <w:r w:rsidRPr="006C0470">
              <w:rPr>
                <w:color w:val="000000" w:themeColor="text1"/>
              </w:rPr>
              <w:t> </w:t>
            </w:r>
          </w:p>
        </w:tc>
      </w:tr>
    </w:tbl>
    <w:p w:rsidR="006264EF" w:rsidRPr="001518E1" w:rsidRDefault="006264EF" w:rsidP="006264EF">
      <w:pPr>
        <w:rPr>
          <w:color w:val="000000" w:themeColor="text1"/>
        </w:rPr>
      </w:pPr>
    </w:p>
    <w:p w:rsidR="006264EF" w:rsidRPr="001518E1" w:rsidRDefault="006264EF" w:rsidP="006264EF">
      <w:pPr>
        <w:rPr>
          <w:color w:val="000000" w:themeColor="text1"/>
        </w:rPr>
      </w:pPr>
    </w:p>
    <w:p w:rsidR="006264EF" w:rsidRPr="001518E1" w:rsidRDefault="006264EF" w:rsidP="006264EF">
      <w:r w:rsidRPr="001518E1">
        <w:t xml:space="preserve">How does this number compare to the known mutation rates for coronaviruses? </w:t>
      </w:r>
    </w:p>
    <w:p w:rsidR="006264EF" w:rsidRPr="001518E1" w:rsidRDefault="006264EF" w:rsidP="006264EF">
      <w:pPr>
        <w:rPr>
          <w:i/>
          <w:iCs/>
        </w:rPr>
      </w:pPr>
    </w:p>
    <w:p w:rsidR="006264EF" w:rsidRPr="001518E1" w:rsidRDefault="006264EF" w:rsidP="006264EF">
      <w:r w:rsidRPr="001518E1">
        <w:t xml:space="preserve">In addition to assumptions about transmission time and equating transmissions to cell infections, what other factors could contribute to differences between the mutation rate you calculated and the actual mutation rate? </w:t>
      </w:r>
    </w:p>
    <w:p w:rsidR="006264EF" w:rsidRPr="001518E1" w:rsidRDefault="006264EF" w:rsidP="006264EF">
      <w:pPr>
        <w:rPr>
          <w:color w:val="000000" w:themeColor="text1"/>
        </w:rPr>
      </w:pPr>
    </w:p>
    <w:p w:rsidR="006264EF" w:rsidRPr="001518E1" w:rsidRDefault="006264EF" w:rsidP="006264EF">
      <w:pPr>
        <w:rPr>
          <w:b/>
          <w:bCs/>
        </w:rPr>
      </w:pPr>
      <w:r>
        <w:rPr>
          <w:b/>
          <w:bCs/>
        </w:rPr>
        <w:t xml:space="preserve">Section </w:t>
      </w:r>
      <w:r w:rsidRPr="001518E1">
        <w:rPr>
          <w:b/>
          <w:bCs/>
        </w:rPr>
        <w:t>D – Effect of Mutation Rate on Genetic Tests</w:t>
      </w:r>
    </w:p>
    <w:p w:rsidR="006264EF" w:rsidRPr="001518E1" w:rsidRDefault="006264EF" w:rsidP="006264EF">
      <w:pPr>
        <w:rPr>
          <w:color w:val="000000" w:themeColor="text1"/>
        </w:rPr>
      </w:pPr>
    </w:p>
    <w:p w:rsidR="006264EF" w:rsidRPr="001518E1" w:rsidRDefault="006264EF" w:rsidP="006264EF">
      <w:r>
        <w:t xml:space="preserve">Step 1: </w:t>
      </w:r>
      <w:r w:rsidRPr="001518E1">
        <w:t xml:space="preserve">Have any of the viruses obtained a mutation in the N1 region that would potentially prevent the test from working? If so, show evidence using a screen </w:t>
      </w:r>
      <w:proofErr w:type="gramStart"/>
      <w:r w:rsidRPr="001518E1">
        <w:t>grab</w:t>
      </w:r>
      <w:proofErr w:type="gramEnd"/>
      <w:r w:rsidRPr="001518E1">
        <w:t>.</w:t>
      </w:r>
    </w:p>
    <w:p w:rsidR="006264EF" w:rsidRPr="001518E1" w:rsidRDefault="006264EF" w:rsidP="006264EF">
      <w:pPr>
        <w:rPr>
          <w:b/>
          <w:bCs/>
        </w:rPr>
      </w:pPr>
    </w:p>
    <w:p w:rsidR="006264EF" w:rsidRPr="00444C9C" w:rsidRDefault="006264EF" w:rsidP="006264EF">
      <w:r w:rsidRPr="00444C9C">
        <w:t xml:space="preserve">Step 2: Have any of the viruses obtained a mutation in the any of the test regions that would potentially prevent the test from working? If so, show evidence using a screen </w:t>
      </w:r>
      <w:proofErr w:type="gramStart"/>
      <w:r w:rsidRPr="00444C9C">
        <w:t>grab</w:t>
      </w:r>
      <w:proofErr w:type="gramEnd"/>
      <w:r w:rsidRPr="00444C9C">
        <w:t xml:space="preserve">. </w:t>
      </w:r>
    </w:p>
    <w:p w:rsidR="006264EF" w:rsidRPr="001518E1" w:rsidRDefault="006264EF" w:rsidP="006264EF">
      <w:pPr>
        <w:rPr>
          <w:color w:val="000000" w:themeColor="text1"/>
        </w:rPr>
      </w:pPr>
    </w:p>
    <w:p w:rsidR="009875E8" w:rsidRPr="006264EF" w:rsidRDefault="00114F20" w:rsidP="00114F20">
      <w:pPr>
        <w:pStyle w:val="ListParagraph"/>
        <w:ind w:left="0"/>
        <w:rPr>
          <w:rFonts w:ascii="Times New Roman" w:hAnsi="Times New Roman" w:cs="Times New Roman"/>
          <w:color w:val="000000" w:themeColor="text1"/>
        </w:rPr>
      </w:pPr>
      <w:r w:rsidRPr="00114F20">
        <w:rPr>
          <w:rFonts w:ascii="Times New Roman" w:hAnsi="Times New Roman" w:cs="Times New Roman"/>
          <w:color w:val="000000" w:themeColor="text1"/>
        </w:rPr>
        <w:t>What are the implications of the viral mutation rate for the ability of the original test to positively identify new strains of the virus as the pandemic continues? What are the chances that a virus would accumulate a mutation in both the N1 and N2 regions, according to your calculations?</w:t>
      </w:r>
    </w:p>
    <w:sectPr w:rsidR="009875E8" w:rsidRPr="006264EF" w:rsidSect="00A645B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61" w:rsidRDefault="00151961" w:rsidP="00151961">
      <w:r>
        <w:separator/>
      </w:r>
    </w:p>
  </w:endnote>
  <w:endnote w:type="continuationSeparator" w:id="0">
    <w:p w:rsidR="00151961" w:rsidRDefault="00151961" w:rsidP="0015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61" w:rsidRDefault="00151961" w:rsidP="00151961">
    <w:pPr>
      <w:pStyle w:val="Footer"/>
    </w:pPr>
    <w:r>
      <w:t xml:space="preserve">Answer Sheet for “Genetic Testing for the COVID-19 Virus” by Amy C. </w:t>
    </w:r>
    <w:proofErr w:type="spellStart"/>
    <w:r>
      <w:t>Groth</w:t>
    </w:r>
    <w:proofErr w:type="spellEnd"/>
  </w:p>
  <w:p w:rsidR="00151961" w:rsidRDefault="00151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61" w:rsidRDefault="00151961" w:rsidP="00151961">
      <w:r>
        <w:separator/>
      </w:r>
    </w:p>
  </w:footnote>
  <w:footnote w:type="continuationSeparator" w:id="0">
    <w:p w:rsidR="00151961" w:rsidRDefault="00151961" w:rsidP="00151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61" w:rsidRPr="00151961" w:rsidRDefault="00151961" w:rsidP="00151961">
    <w:pPr>
      <w:pStyle w:val="Header"/>
      <w:jc w:val="right"/>
      <w:rPr>
        <w:smallCaps/>
        <w:sz w:val="20"/>
      </w:rPr>
    </w:pPr>
    <w:r>
      <w:rPr>
        <w:smallCaps/>
        <w:sz w:val="20"/>
      </w:rPr>
      <w:t>national center for case study teaching in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EF"/>
    <w:rsid w:val="00114F20"/>
    <w:rsid w:val="00151961"/>
    <w:rsid w:val="00246D31"/>
    <w:rsid w:val="003774A4"/>
    <w:rsid w:val="006264EF"/>
    <w:rsid w:val="009875E8"/>
    <w:rsid w:val="00EC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EF"/>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51961"/>
    <w:pPr>
      <w:tabs>
        <w:tab w:val="center" w:pos="4680"/>
        <w:tab w:val="right" w:pos="9360"/>
      </w:tabs>
    </w:pPr>
  </w:style>
  <w:style w:type="character" w:customStyle="1" w:styleId="HeaderChar">
    <w:name w:val="Header Char"/>
    <w:basedOn w:val="DefaultParagraphFont"/>
    <w:link w:val="Header"/>
    <w:uiPriority w:val="99"/>
    <w:rsid w:val="001519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1961"/>
    <w:pPr>
      <w:tabs>
        <w:tab w:val="center" w:pos="4680"/>
        <w:tab w:val="right" w:pos="9360"/>
      </w:tabs>
    </w:pPr>
  </w:style>
  <w:style w:type="character" w:customStyle="1" w:styleId="FooterChar">
    <w:name w:val="Footer Char"/>
    <w:basedOn w:val="DefaultParagraphFont"/>
    <w:link w:val="Footer"/>
    <w:uiPriority w:val="99"/>
    <w:rsid w:val="001519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1961"/>
    <w:rPr>
      <w:rFonts w:ascii="Tahoma" w:hAnsi="Tahoma" w:cs="Tahoma"/>
      <w:sz w:val="16"/>
      <w:szCs w:val="16"/>
    </w:rPr>
  </w:style>
  <w:style w:type="character" w:customStyle="1" w:styleId="BalloonTextChar">
    <w:name w:val="Balloon Text Char"/>
    <w:basedOn w:val="DefaultParagraphFont"/>
    <w:link w:val="BalloonText"/>
    <w:uiPriority w:val="99"/>
    <w:semiHidden/>
    <w:rsid w:val="001519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4EF"/>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51961"/>
    <w:pPr>
      <w:tabs>
        <w:tab w:val="center" w:pos="4680"/>
        <w:tab w:val="right" w:pos="9360"/>
      </w:tabs>
    </w:pPr>
  </w:style>
  <w:style w:type="character" w:customStyle="1" w:styleId="HeaderChar">
    <w:name w:val="Header Char"/>
    <w:basedOn w:val="DefaultParagraphFont"/>
    <w:link w:val="Header"/>
    <w:uiPriority w:val="99"/>
    <w:rsid w:val="001519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1961"/>
    <w:pPr>
      <w:tabs>
        <w:tab w:val="center" w:pos="4680"/>
        <w:tab w:val="right" w:pos="9360"/>
      </w:tabs>
    </w:pPr>
  </w:style>
  <w:style w:type="character" w:customStyle="1" w:styleId="FooterChar">
    <w:name w:val="Footer Char"/>
    <w:basedOn w:val="DefaultParagraphFont"/>
    <w:link w:val="Footer"/>
    <w:uiPriority w:val="99"/>
    <w:rsid w:val="0015196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1961"/>
    <w:rPr>
      <w:rFonts w:ascii="Tahoma" w:hAnsi="Tahoma" w:cs="Tahoma"/>
      <w:sz w:val="16"/>
      <w:szCs w:val="16"/>
    </w:rPr>
  </w:style>
  <w:style w:type="character" w:customStyle="1" w:styleId="BalloonTextChar">
    <w:name w:val="Balloon Text Char"/>
    <w:basedOn w:val="DefaultParagraphFont"/>
    <w:link w:val="BalloonText"/>
    <w:uiPriority w:val="99"/>
    <w:semiHidden/>
    <w:rsid w:val="001519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nuccore/MT093631" TargetMode="External"/><Relationship Id="rId13" Type="http://schemas.openxmlformats.org/officeDocument/2006/relationships/hyperlink" Target="https://www.ncbi.nlm.nih.gov/nuccore/MT263430" TargetMode="External"/><Relationship Id="rId3" Type="http://schemas.openxmlformats.org/officeDocument/2006/relationships/settings" Target="settings.xml"/><Relationship Id="rId7" Type="http://schemas.openxmlformats.org/officeDocument/2006/relationships/hyperlink" Target="https://www.ncbi.nlm.nih.gov/nuccore/NC_045512" TargetMode="External"/><Relationship Id="rId12" Type="http://schemas.openxmlformats.org/officeDocument/2006/relationships/hyperlink" Target="https://www.ncbi.nlm.nih.gov/nuccore/MT26307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cbi.nlm.nih.gov/nuccore/MT15282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bi.nlm.nih.gov/nuccore/MT093571.1" TargetMode="External"/><Relationship Id="rId4" Type="http://schemas.openxmlformats.org/officeDocument/2006/relationships/webSettings" Target="webSettings.xml"/><Relationship Id="rId9" Type="http://schemas.openxmlformats.org/officeDocument/2006/relationships/hyperlink" Target="https://www.ncbi.nlm.nih.gov/nuccore/MN994467.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dc:creator>
  <cp:lastModifiedBy>Ky</cp:lastModifiedBy>
  <cp:revision>4</cp:revision>
  <dcterms:created xsi:type="dcterms:W3CDTF">2020-04-20T18:05:00Z</dcterms:created>
  <dcterms:modified xsi:type="dcterms:W3CDTF">2020-07-22T22:55:00Z</dcterms:modified>
</cp:coreProperties>
</file>