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92BF" w14:textId="7EA76367" w:rsidR="00263400" w:rsidRDefault="003879FC" w:rsidP="003879FC">
      <w:pPr>
        <w:jc w:val="center"/>
      </w:pPr>
      <w:bookmarkStart w:id="0" w:name="_GoBack"/>
      <w:bookmarkEnd w:id="0"/>
      <w:r>
        <w:t>Field Trip</w:t>
      </w:r>
      <w:r w:rsidR="00C53E68">
        <w:t>:</w:t>
      </w:r>
      <w:r>
        <w:t xml:space="preserve"> Student Learning Experiences</w:t>
      </w:r>
    </w:p>
    <w:p w14:paraId="4492651B" w14:textId="77777777" w:rsidR="00096AB0" w:rsidRDefault="00096AB0" w:rsidP="003879FC">
      <w:pPr>
        <w:jc w:val="center"/>
      </w:pPr>
    </w:p>
    <w:p w14:paraId="6BCEC7C8" w14:textId="77777777" w:rsidR="00B81B4A" w:rsidRDefault="00096AB0" w:rsidP="00096AB0">
      <w:r>
        <w:t xml:space="preserve">You have completed a detailed itinerary of how you will spend your time at </w:t>
      </w:r>
      <w:r w:rsidR="00C342F0">
        <w:t>the</w:t>
      </w:r>
      <w:r>
        <w:t xml:space="preserve"> selected field trip location. Now it is time to create </w:t>
      </w:r>
      <w:r w:rsidR="00B56C9E">
        <w:t>and justify two specific learning experiences</w:t>
      </w:r>
      <w:r>
        <w:t xml:space="preserve"> students will complete during the trip.</w:t>
      </w:r>
      <w:r w:rsidR="004D38D5">
        <w:t xml:space="preserve"> </w:t>
      </w:r>
    </w:p>
    <w:p w14:paraId="21BCA239" w14:textId="77777777" w:rsidR="00B81B4A" w:rsidRDefault="00B81B4A" w:rsidP="00096AB0"/>
    <w:p w14:paraId="3F3D8DBB" w14:textId="33F48A70" w:rsidR="00096AB0" w:rsidRDefault="00B56C9E" w:rsidP="00096AB0">
      <w:r>
        <w:t>Both</w:t>
      </w:r>
      <w:r w:rsidR="004D38D5">
        <w:t xml:space="preserve"> experiences must</w:t>
      </w:r>
      <w:r w:rsidR="00FB441C">
        <w:t xml:space="preserve"> be for the same grade level, </w:t>
      </w:r>
      <w:r>
        <w:t>align with the NGSS</w:t>
      </w:r>
      <w:r w:rsidR="00FB441C">
        <w:t>,</w:t>
      </w:r>
      <w:r w:rsidR="004D38D5">
        <w:t xml:space="preserve"> </w:t>
      </w:r>
      <w:r>
        <w:t xml:space="preserve">and </w:t>
      </w:r>
      <w:r w:rsidR="00B81B4A">
        <w:t>have an assessment.</w:t>
      </w:r>
      <w:r w:rsidR="004D38D5">
        <w:t xml:space="preserve"> </w:t>
      </w:r>
      <w:r w:rsidR="00FB441C">
        <w:t xml:space="preserve">Each experience </w:t>
      </w:r>
      <w:r>
        <w:t xml:space="preserve">created </w:t>
      </w:r>
      <w:r w:rsidR="00FB441C">
        <w:t>must include the appr</w:t>
      </w:r>
      <w:r w:rsidR="00962D64">
        <w:t>opriate</w:t>
      </w:r>
      <w:r w:rsidR="00FB441C">
        <w:t xml:space="preserve"> </w:t>
      </w:r>
      <w:r w:rsidR="00C342F0">
        <w:t>teacher created</w:t>
      </w:r>
      <w:r w:rsidR="00FB441C">
        <w:t xml:space="preserve"> work samples. </w:t>
      </w:r>
      <w:r>
        <w:t>One</w:t>
      </w:r>
      <w:r w:rsidR="004D38D5">
        <w:t xml:space="preserve"> </w:t>
      </w:r>
      <w:r w:rsidR="009E78C1">
        <w:t>of</w:t>
      </w:r>
      <w:r w:rsidR="004D38D5">
        <w:t xml:space="preserve"> the </w:t>
      </w:r>
      <w:r w:rsidR="009E78C1">
        <w:t>experiences</w:t>
      </w:r>
      <w:r w:rsidR="004D38D5">
        <w:t xml:space="preserve"> must be </w:t>
      </w:r>
      <w:r w:rsidR="00B47FD6">
        <w:t xml:space="preserve">short-term and </w:t>
      </w:r>
      <w:r w:rsidR="009E78C1">
        <w:t>completed</w:t>
      </w:r>
      <w:r>
        <w:t xml:space="preserve"> in it</w:t>
      </w:r>
      <w:r w:rsidR="00C342F0">
        <w:t>s</w:t>
      </w:r>
      <w:r w:rsidR="004D38D5">
        <w:t xml:space="preserve"> </w:t>
      </w:r>
      <w:r w:rsidR="009E78C1">
        <w:t>entirety</w:t>
      </w:r>
      <w:r w:rsidR="004D38D5">
        <w:t xml:space="preserve"> </w:t>
      </w:r>
      <w:r w:rsidR="00B47FD6">
        <w:t xml:space="preserve">during the trip. The </w:t>
      </w:r>
      <w:r>
        <w:t>second</w:t>
      </w:r>
      <w:r w:rsidR="00B47FD6">
        <w:t xml:space="preserve"> </w:t>
      </w:r>
      <w:r w:rsidR="009E78C1">
        <w:t>activity</w:t>
      </w:r>
      <w:r w:rsidR="00B47FD6">
        <w:t xml:space="preserve"> </w:t>
      </w:r>
      <w:r w:rsidR="00EF2F7B">
        <w:t>will be</w:t>
      </w:r>
      <w:r w:rsidR="009E78C1">
        <w:t xml:space="preserve"> long term and can be started prior to the trip, worked on on-site, and fi</w:t>
      </w:r>
      <w:r w:rsidR="001D2FB8">
        <w:t>ni</w:t>
      </w:r>
      <w:r w:rsidR="009E78C1">
        <w:t>shed after the trip.</w:t>
      </w:r>
      <w:r w:rsidR="001D2FB8">
        <w:t xml:space="preserve"> </w:t>
      </w:r>
      <w:r>
        <w:t xml:space="preserve"> This activity should intertwine both </w:t>
      </w:r>
      <w:r w:rsidR="00B81B4A">
        <w:t xml:space="preserve">the </w:t>
      </w:r>
      <w:r>
        <w:t xml:space="preserve">field trip and the trade book you selected as a complimentary text. </w:t>
      </w:r>
      <w:r w:rsidR="001D2FB8">
        <w:t xml:space="preserve">All </w:t>
      </w:r>
      <w:r w:rsidR="00C604B1">
        <w:t>experiences</w:t>
      </w:r>
      <w:r w:rsidR="001D2FB8">
        <w:t xml:space="preserve"> must be based on higher-or</w:t>
      </w:r>
      <w:r w:rsidR="004C5786">
        <w:t>der cognitive processes</w:t>
      </w:r>
      <w:r w:rsidR="00B81B4A">
        <w:t>, be accessible to all learners (think ELL and ESE)</w:t>
      </w:r>
      <w:r w:rsidR="004C5786">
        <w:t xml:space="preserve"> and each must focus on </w:t>
      </w:r>
      <w:r w:rsidR="00C604B1">
        <w:t>one</w:t>
      </w:r>
      <w:r w:rsidR="004C5786">
        <w:t xml:space="preserve"> particular level of Bloom’</w:t>
      </w:r>
      <w:r w:rsidR="00C342F0">
        <w:t xml:space="preserve">s taxonomy. </w:t>
      </w:r>
    </w:p>
    <w:p w14:paraId="42A13634" w14:textId="77777777" w:rsidR="00C342F0" w:rsidRDefault="00C342F0" w:rsidP="00096AB0"/>
    <w:p w14:paraId="1FB72586" w14:textId="08A5D08A" w:rsidR="00C342F0" w:rsidRDefault="00C342F0" w:rsidP="00096AB0">
      <w:r>
        <w:t>The final product may look like the example below.</w:t>
      </w:r>
    </w:p>
    <w:p w14:paraId="759A446A" w14:textId="2674908E" w:rsidR="001C66EA" w:rsidRDefault="001C66EA" w:rsidP="00096AB0"/>
    <w:p w14:paraId="31FF8E1E" w14:textId="77777777" w:rsidR="00B56C9E" w:rsidRDefault="00B56C9E" w:rsidP="00096AB0"/>
    <w:p w14:paraId="3A3F8C39" w14:textId="32DBB6C6" w:rsidR="001C66EA" w:rsidRPr="00C342F0" w:rsidRDefault="00B56C9E" w:rsidP="00B56C9E">
      <w:pPr>
        <w:jc w:val="center"/>
        <w:rPr>
          <w:u w:val="single"/>
        </w:rPr>
      </w:pPr>
      <w:r w:rsidRPr="00C342F0">
        <w:rPr>
          <w:u w:val="single"/>
        </w:rPr>
        <w:t>Field Trip Reflection</w:t>
      </w:r>
    </w:p>
    <w:p w14:paraId="33FBD39D" w14:textId="77777777" w:rsidR="00B56C9E" w:rsidRDefault="00B56C9E" w:rsidP="00B56C9E">
      <w:pPr>
        <w:jc w:val="center"/>
      </w:pPr>
    </w:p>
    <w:p w14:paraId="5EF20925" w14:textId="247A23E4" w:rsidR="00B56C9E" w:rsidRDefault="00B56C9E" w:rsidP="00B56C9E">
      <w:r>
        <w:t>Location of trip:</w:t>
      </w:r>
    </w:p>
    <w:p w14:paraId="0655CBDA" w14:textId="61C629D8" w:rsidR="00B56C9E" w:rsidRDefault="00B56C9E" w:rsidP="00B56C9E">
      <w:r>
        <w:t>Date of trip:</w:t>
      </w:r>
    </w:p>
    <w:p w14:paraId="7CBFB66B" w14:textId="5B9C8FBF" w:rsidR="00B56C9E" w:rsidRDefault="00B56C9E" w:rsidP="00B56C9E">
      <w:r>
        <w:t>Contact at site:</w:t>
      </w:r>
    </w:p>
    <w:p w14:paraId="0A4030CB" w14:textId="77777777" w:rsidR="00B56C9E" w:rsidRDefault="00B56C9E" w:rsidP="00B56C9E"/>
    <w:p w14:paraId="20436E7A" w14:textId="55F1FADD" w:rsidR="00B56C9E" w:rsidRDefault="00B56C9E" w:rsidP="00B56C9E">
      <w:r>
        <w:t>Personal Reflection and Site Analysis:</w:t>
      </w:r>
    </w:p>
    <w:p w14:paraId="60DA542A" w14:textId="77777777" w:rsidR="00B56C9E" w:rsidRDefault="00B56C9E" w:rsidP="00096AB0"/>
    <w:p w14:paraId="32F327F8" w14:textId="77777777" w:rsidR="001C66EA" w:rsidRDefault="001C66EA" w:rsidP="00096AB0"/>
    <w:p w14:paraId="528CE772" w14:textId="77777777" w:rsidR="001C66EA" w:rsidRDefault="001C66EA" w:rsidP="00096AB0"/>
    <w:p w14:paraId="0297E665" w14:textId="77777777" w:rsidR="001C66EA" w:rsidRDefault="001C66EA" w:rsidP="00096AB0"/>
    <w:p w14:paraId="1089E7A1" w14:textId="73043D1E" w:rsidR="00F959B3" w:rsidRDefault="00B56C9E" w:rsidP="00096AB0">
      <w:r>
        <w:t>Student</w:t>
      </w:r>
      <w:r w:rsidR="00F959B3">
        <w:t xml:space="preserve"> Learning Experience Table:</w:t>
      </w:r>
    </w:p>
    <w:p w14:paraId="2D0DED29" w14:textId="77777777" w:rsidR="004C5786" w:rsidRDefault="004C5786" w:rsidP="00096AB0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0"/>
        <w:gridCol w:w="1290"/>
        <w:gridCol w:w="1629"/>
        <w:gridCol w:w="1826"/>
        <w:gridCol w:w="1383"/>
        <w:gridCol w:w="2112"/>
        <w:gridCol w:w="1128"/>
      </w:tblGrid>
      <w:tr w:rsidR="00B56C9E" w14:paraId="06C12BAB" w14:textId="27DF43BF" w:rsidTr="00C342F0">
        <w:tc>
          <w:tcPr>
            <w:tcW w:w="1090" w:type="dxa"/>
          </w:tcPr>
          <w:p w14:paraId="715F52D9" w14:textId="281155EA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Bloom’s Level</w:t>
            </w:r>
          </w:p>
        </w:tc>
        <w:tc>
          <w:tcPr>
            <w:tcW w:w="1290" w:type="dxa"/>
          </w:tcPr>
          <w:p w14:paraId="53B65CB7" w14:textId="77777777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NGSS</w:t>
            </w:r>
          </w:p>
          <w:p w14:paraId="70FA34E2" w14:textId="3FB158B0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Supporting Activity</w:t>
            </w:r>
          </w:p>
        </w:tc>
        <w:tc>
          <w:tcPr>
            <w:tcW w:w="1629" w:type="dxa"/>
          </w:tcPr>
          <w:p w14:paraId="7DB3A131" w14:textId="77777777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Corresponding Standards</w:t>
            </w:r>
          </w:p>
          <w:p w14:paraId="5122264E" w14:textId="64E9A9A1" w:rsidR="00B56C9E" w:rsidRPr="00B56C9E" w:rsidRDefault="00B56C9E" w:rsidP="0009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Ac</w:t>
            </w:r>
            <w:r w:rsidRPr="00B56C9E">
              <w:rPr>
                <w:sz w:val="20"/>
                <w:szCs w:val="20"/>
              </w:rPr>
              <w:t>tiv</w:t>
            </w:r>
            <w:r>
              <w:rPr>
                <w:sz w:val="20"/>
                <w:szCs w:val="20"/>
              </w:rPr>
              <w:t>it</w:t>
            </w:r>
            <w:r w:rsidRPr="00B56C9E"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</w:tcPr>
          <w:p w14:paraId="731D617F" w14:textId="77777777" w:rsid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Learning Experience</w:t>
            </w:r>
          </w:p>
          <w:p w14:paraId="49CBAB3A" w14:textId="49324770" w:rsidR="00B56C9E" w:rsidRPr="00B56C9E" w:rsidRDefault="00B56C9E" w:rsidP="0009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383" w:type="dxa"/>
          </w:tcPr>
          <w:p w14:paraId="2574A3EB" w14:textId="42A43492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Assessment</w:t>
            </w:r>
          </w:p>
        </w:tc>
        <w:tc>
          <w:tcPr>
            <w:tcW w:w="2112" w:type="dxa"/>
          </w:tcPr>
          <w:p w14:paraId="1B3E2612" w14:textId="38E74F01" w:rsidR="00B56C9E" w:rsidRPr="00B56C9E" w:rsidRDefault="00B56C9E" w:rsidP="00096AB0">
            <w:pPr>
              <w:rPr>
                <w:sz w:val="20"/>
                <w:szCs w:val="20"/>
              </w:rPr>
            </w:pPr>
            <w:r w:rsidRPr="00B56C9E">
              <w:rPr>
                <w:sz w:val="20"/>
                <w:szCs w:val="20"/>
              </w:rPr>
              <w:t>Complimentary Trade Book</w:t>
            </w:r>
          </w:p>
        </w:tc>
        <w:tc>
          <w:tcPr>
            <w:tcW w:w="1128" w:type="dxa"/>
          </w:tcPr>
          <w:p w14:paraId="3B36D15A" w14:textId="6A1DADFD" w:rsidR="00B56C9E" w:rsidRPr="00B56C9E" w:rsidRDefault="00B56C9E" w:rsidP="0009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 &amp; C</w:t>
            </w:r>
            <w:r w:rsidRPr="00B56C9E">
              <w:rPr>
                <w:sz w:val="20"/>
                <w:szCs w:val="20"/>
              </w:rPr>
              <w:t>ons of Site Visit</w:t>
            </w:r>
          </w:p>
        </w:tc>
      </w:tr>
      <w:tr w:rsidR="00B56C9E" w14:paraId="19D5E3A5" w14:textId="410A30CD" w:rsidTr="00C342F0">
        <w:tc>
          <w:tcPr>
            <w:tcW w:w="1090" w:type="dxa"/>
          </w:tcPr>
          <w:p w14:paraId="476FB94A" w14:textId="77777777" w:rsidR="00B56C9E" w:rsidRDefault="00B56C9E" w:rsidP="00B56C9E">
            <w:pPr>
              <w:rPr>
                <w:rFonts w:ascii="Times" w:hAnsi="Times"/>
                <w:sz w:val="22"/>
                <w:szCs w:val="22"/>
              </w:rPr>
            </w:pPr>
          </w:p>
          <w:p w14:paraId="2424141E" w14:textId="77777777" w:rsidR="00B81B4A" w:rsidRDefault="00B81B4A" w:rsidP="00B56C9E">
            <w:pPr>
              <w:rPr>
                <w:rFonts w:ascii="Times" w:hAnsi="Times"/>
                <w:sz w:val="22"/>
                <w:szCs w:val="22"/>
              </w:rPr>
            </w:pPr>
          </w:p>
          <w:p w14:paraId="3BB4E290" w14:textId="78EB1E7C" w:rsidR="00B81B4A" w:rsidRPr="00507B72" w:rsidRDefault="00B81B4A" w:rsidP="00B56C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56484EE" w14:textId="6EFD819E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C461D49" w14:textId="77777777" w:rsidR="00B56C9E" w:rsidRPr="00507B72" w:rsidRDefault="00B56C9E" w:rsidP="00D840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C4C7767" w14:textId="26245E65" w:rsidR="00B56C9E" w:rsidRPr="00507B72" w:rsidRDefault="00B56C9E" w:rsidP="00D840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3" w:type="dxa"/>
          </w:tcPr>
          <w:p w14:paraId="3C8D7532" w14:textId="70F9BAE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12" w:type="dxa"/>
          </w:tcPr>
          <w:p w14:paraId="5C88C23F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EFF10C6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B56C9E" w14:paraId="6777B626" w14:textId="77777777" w:rsidTr="00C342F0">
        <w:tc>
          <w:tcPr>
            <w:tcW w:w="1090" w:type="dxa"/>
          </w:tcPr>
          <w:p w14:paraId="17247A46" w14:textId="77777777" w:rsidR="00B56C9E" w:rsidRDefault="00B56C9E" w:rsidP="00B56C9E">
            <w:pPr>
              <w:rPr>
                <w:rFonts w:ascii="Times" w:hAnsi="Times"/>
                <w:sz w:val="22"/>
                <w:szCs w:val="22"/>
              </w:rPr>
            </w:pPr>
          </w:p>
          <w:p w14:paraId="6D738BD2" w14:textId="77777777" w:rsidR="00B81B4A" w:rsidRDefault="00B81B4A" w:rsidP="00B56C9E">
            <w:pPr>
              <w:rPr>
                <w:rFonts w:ascii="Times" w:hAnsi="Times"/>
                <w:sz w:val="22"/>
                <w:szCs w:val="22"/>
              </w:rPr>
            </w:pPr>
          </w:p>
          <w:p w14:paraId="04C7E091" w14:textId="77777777" w:rsidR="00B81B4A" w:rsidRDefault="00B81B4A" w:rsidP="00B56C9E">
            <w:pPr>
              <w:rPr>
                <w:rFonts w:ascii="Times" w:hAnsi="Times"/>
                <w:sz w:val="22"/>
                <w:szCs w:val="22"/>
              </w:rPr>
            </w:pPr>
          </w:p>
          <w:p w14:paraId="20A89A13" w14:textId="77777777" w:rsidR="00B81B4A" w:rsidRPr="00507B72" w:rsidRDefault="00B81B4A" w:rsidP="00B56C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F2B8BB6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9" w:type="dxa"/>
          </w:tcPr>
          <w:p w14:paraId="549B1D4F" w14:textId="77777777" w:rsidR="00B56C9E" w:rsidRPr="00507B72" w:rsidRDefault="00B56C9E" w:rsidP="00D840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26" w:type="dxa"/>
          </w:tcPr>
          <w:p w14:paraId="449BC9E4" w14:textId="08DE5622" w:rsidR="00B56C9E" w:rsidRPr="00507B72" w:rsidRDefault="00B56C9E" w:rsidP="00D8408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383" w:type="dxa"/>
          </w:tcPr>
          <w:p w14:paraId="279D0493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12" w:type="dxa"/>
          </w:tcPr>
          <w:p w14:paraId="4DC53F96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3254293" w14:textId="77777777" w:rsidR="00B56C9E" w:rsidRPr="00507B72" w:rsidRDefault="00B56C9E" w:rsidP="00096AB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7F2A26C" w14:textId="77777777" w:rsidR="00F959B3" w:rsidRDefault="00F959B3" w:rsidP="00096AB0"/>
    <w:p w14:paraId="224DC541" w14:textId="4CCE18D8" w:rsidR="00F959B3" w:rsidRDefault="00F959B3" w:rsidP="00096AB0"/>
    <w:p w14:paraId="397D7138" w14:textId="77777777" w:rsidR="006110CE" w:rsidRDefault="006110CE" w:rsidP="006110CE"/>
    <w:p w14:paraId="1C6D3143" w14:textId="77777777" w:rsidR="006110CE" w:rsidRDefault="006110CE" w:rsidP="006110CE"/>
    <w:p w14:paraId="7EE0DFE8" w14:textId="77777777" w:rsidR="006110CE" w:rsidRDefault="006110CE" w:rsidP="00096AB0"/>
    <w:sectPr w:rsidR="006110CE" w:rsidSect="00BA607F">
      <w:headerReference w:type="default" r:id="rId7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80B62" w14:textId="77777777" w:rsidR="00EF2F7B" w:rsidRDefault="00EF2F7B" w:rsidP="00BA607F">
      <w:r>
        <w:separator/>
      </w:r>
    </w:p>
  </w:endnote>
  <w:endnote w:type="continuationSeparator" w:id="0">
    <w:p w14:paraId="70CCC3E8" w14:textId="77777777" w:rsidR="00EF2F7B" w:rsidRDefault="00EF2F7B" w:rsidP="00B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FA2F" w14:textId="77777777" w:rsidR="00EF2F7B" w:rsidRDefault="00EF2F7B" w:rsidP="00BA607F">
      <w:r>
        <w:separator/>
      </w:r>
    </w:p>
  </w:footnote>
  <w:footnote w:type="continuationSeparator" w:id="0">
    <w:p w14:paraId="5D28037F" w14:textId="77777777" w:rsidR="00EF2F7B" w:rsidRDefault="00EF2F7B" w:rsidP="00BA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350B2" w14:textId="7B6EFC37" w:rsidR="00EF2F7B" w:rsidRPr="00BA607F" w:rsidRDefault="00EF2F7B" w:rsidP="00BA607F">
    <w:pPr>
      <w:pStyle w:val="Header"/>
      <w:tabs>
        <w:tab w:val="clear" w:pos="4320"/>
        <w:tab w:val="clear" w:pos="8640"/>
        <w:tab w:val="left" w:pos="8460"/>
      </w:tabs>
      <w:rPr>
        <w:sz w:val="18"/>
        <w:szCs w:val="18"/>
      </w:rPr>
    </w:pPr>
    <w:r>
      <w:rPr>
        <w:sz w:val="18"/>
        <w:szCs w:val="18"/>
      </w:rPr>
      <w:tab/>
      <w:t xml:space="preserve"> </w:t>
    </w:r>
  </w:p>
  <w:p w14:paraId="6A54DFB5" w14:textId="6372F454" w:rsidR="00EF2F7B" w:rsidRPr="00BA607F" w:rsidRDefault="00EF2F7B" w:rsidP="00BA607F">
    <w:pPr>
      <w:pStyle w:val="Header"/>
      <w:tabs>
        <w:tab w:val="clear" w:pos="4320"/>
        <w:tab w:val="clear" w:pos="8640"/>
        <w:tab w:val="right" w:pos="99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A607F">
      <w:rPr>
        <w:sz w:val="18"/>
        <w:szCs w:val="18"/>
      </w:rPr>
      <w:t>Field Trip Stu. Learn.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C"/>
    <w:rsid w:val="00085FA8"/>
    <w:rsid w:val="00096AB0"/>
    <w:rsid w:val="000D14B5"/>
    <w:rsid w:val="001C66EA"/>
    <w:rsid w:val="001D2FB8"/>
    <w:rsid w:val="00263400"/>
    <w:rsid w:val="00335785"/>
    <w:rsid w:val="003879FC"/>
    <w:rsid w:val="004279E4"/>
    <w:rsid w:val="00451361"/>
    <w:rsid w:val="004C5786"/>
    <w:rsid w:val="004D38D5"/>
    <w:rsid w:val="00507B72"/>
    <w:rsid w:val="006110CE"/>
    <w:rsid w:val="00680886"/>
    <w:rsid w:val="007A282A"/>
    <w:rsid w:val="007B755B"/>
    <w:rsid w:val="00850CF8"/>
    <w:rsid w:val="009323A4"/>
    <w:rsid w:val="00962D64"/>
    <w:rsid w:val="009E78C1"/>
    <w:rsid w:val="00B47FD6"/>
    <w:rsid w:val="00B56C9E"/>
    <w:rsid w:val="00B81B4A"/>
    <w:rsid w:val="00BA607F"/>
    <w:rsid w:val="00C21107"/>
    <w:rsid w:val="00C342F0"/>
    <w:rsid w:val="00C53E68"/>
    <w:rsid w:val="00C604B1"/>
    <w:rsid w:val="00CB4CD4"/>
    <w:rsid w:val="00D633D7"/>
    <w:rsid w:val="00D84089"/>
    <w:rsid w:val="00EA0431"/>
    <w:rsid w:val="00EF2F7B"/>
    <w:rsid w:val="00F259C7"/>
    <w:rsid w:val="00F9039D"/>
    <w:rsid w:val="00F959B3"/>
    <w:rsid w:val="00FA21BF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72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7F"/>
  </w:style>
  <w:style w:type="paragraph" w:styleId="Footer">
    <w:name w:val="footer"/>
    <w:basedOn w:val="Normal"/>
    <w:link w:val="FooterChar"/>
    <w:uiPriority w:val="99"/>
    <w:unhideWhenUsed/>
    <w:rsid w:val="00BA6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7F"/>
  </w:style>
  <w:style w:type="character" w:styleId="Hyperlink">
    <w:name w:val="Hyperlink"/>
    <w:basedOn w:val="DefaultParagraphFont"/>
    <w:uiPriority w:val="99"/>
    <w:unhideWhenUsed/>
    <w:rsid w:val="0061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7F"/>
  </w:style>
  <w:style w:type="paragraph" w:styleId="Footer">
    <w:name w:val="footer"/>
    <w:basedOn w:val="Normal"/>
    <w:link w:val="FooterChar"/>
    <w:uiPriority w:val="99"/>
    <w:unhideWhenUsed/>
    <w:rsid w:val="00BA6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7F"/>
  </w:style>
  <w:style w:type="character" w:styleId="Hyperlink">
    <w:name w:val="Hyperlink"/>
    <w:basedOn w:val="DefaultParagraphFont"/>
    <w:uiPriority w:val="99"/>
    <w:unhideWhenUsed/>
    <w:rsid w:val="0061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Parks</dc:creator>
  <cp:lastModifiedBy>Valynda Mayes</cp:lastModifiedBy>
  <cp:revision>2</cp:revision>
  <cp:lastPrinted>2015-11-14T11:33:00Z</cp:lastPrinted>
  <dcterms:created xsi:type="dcterms:W3CDTF">2018-07-19T21:17:00Z</dcterms:created>
  <dcterms:modified xsi:type="dcterms:W3CDTF">2018-07-19T21:17:00Z</dcterms:modified>
</cp:coreProperties>
</file>